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C9A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bookmarkStart w:id="1" w:name="_GoBack"/>
      <w:bookmarkStart w:id="0" w:name="OLE_LINK1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新野县财政局涉企行政检查事项和依据</w:t>
      </w:r>
      <w:bookmarkEnd w:id="0"/>
    </w:p>
    <w:bookmarkEnd w:id="1"/>
    <w:p w14:paraId="28F9E5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center"/>
        <w:textAlignment w:val="center"/>
      </w:pPr>
    </w:p>
    <w:tbl>
      <w:tblPr>
        <w:tblStyle w:val="3"/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710"/>
        <w:gridCol w:w="3660"/>
        <w:gridCol w:w="2535"/>
      </w:tblGrid>
      <w:tr w14:paraId="57CA9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145124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ascii="黑体" w:hAnsi="宋体" w:eastAsia="黑体" w:cs="黑体"/>
                <w:spacing w:val="0"/>
                <w:sz w:val="31"/>
                <w:szCs w:val="31"/>
              </w:rPr>
              <w:t>序号</w:t>
            </w:r>
          </w:p>
        </w:tc>
        <w:tc>
          <w:tcPr>
            <w:tcW w:w="1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3E9B50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spacing w:val="0"/>
                <w:sz w:val="31"/>
                <w:szCs w:val="31"/>
              </w:rPr>
              <w:t>主项名称</w:t>
            </w:r>
          </w:p>
        </w:tc>
        <w:tc>
          <w:tcPr>
            <w:tcW w:w="3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021268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spacing w:val="0"/>
                <w:sz w:val="31"/>
                <w:szCs w:val="31"/>
              </w:rPr>
              <w:t>子项名称</w:t>
            </w:r>
          </w:p>
        </w:tc>
        <w:tc>
          <w:tcPr>
            <w:tcW w:w="25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2F8DEA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121212"/>
                <w:spacing w:val="0"/>
                <w:sz w:val="31"/>
                <w:szCs w:val="31"/>
                <w:shd w:val="clear" w:color="auto" w:fill="FFFFFF"/>
              </w:rPr>
              <w:t>检查依据</w:t>
            </w:r>
          </w:p>
        </w:tc>
      </w:tr>
      <w:tr w14:paraId="564C2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54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40AC31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ascii="仿宋_GB2312" w:eastAsia="仿宋_GB2312" w:cs="仿宋_GB2312"/>
                <w:spacing w:val="0"/>
                <w:sz w:val="31"/>
                <w:szCs w:val="31"/>
              </w:rPr>
              <w:t>1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45985C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中介机构从事代理记账业务审批</w:t>
            </w:r>
            <w:r>
              <w:rPr>
                <w:rFonts w:hint="eastAsia"/>
                <w:lang w:val="en-US" w:eastAsia="zh-CN"/>
              </w:rPr>
              <w:t>及检查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6EA274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/>
              </w:rPr>
              <w:t>1.受理责任：一次性告知中介机构从事代理记账业务申请所补材料、依法受理或不予受理（不予受理的应当告知理由）。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68A584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/>
              </w:rPr>
              <w:t>《中华人民共和国会计法》第三条：“各单位必须依法设置会计账簿，并保证其真实、完整。</w:t>
            </w:r>
          </w:p>
        </w:tc>
      </w:tr>
      <w:tr w14:paraId="3DD6E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08D195B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25E606F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0CD3F1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/>
              </w:rPr>
              <w:t>2.审查责任：审查中介机构从事代理记账业务提供材料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6429ED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/>
              </w:rPr>
              <w:t>第七条：“国务院财政部门主管全国的会计工作。县级以上地方各级人民政府财政部门管理本行政区域内的会计工作。”</w:t>
            </w:r>
          </w:p>
        </w:tc>
      </w:tr>
      <w:tr w14:paraId="2F28A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539D4E3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1EFED1A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599473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/>
              </w:rPr>
              <w:t>3.决定责任：当事人提交的材料齐全并且真实、合法、有效的，在规定期限内及时办理中介机构从事代理记账业务审批手续。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55DCE7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/>
              </w:rPr>
              <w:t>第三十六条：“各单位应当根据会计业务的需要，设置会计机构，或者在有关机构中设置会计人员并指定会计主管人员；</w:t>
            </w:r>
          </w:p>
        </w:tc>
      </w:tr>
      <w:tr w14:paraId="69AC0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055DD0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5C6092B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5CFD84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/>
              </w:rPr>
              <w:t>4.事后监管责任：登记并留存登记档案。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343B18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/>
              </w:rPr>
              <w:t>第三十六条：不具备设置条件的，应当委托经批准设立从事会计代理记帐业务的中介机构代理记帐。”</w:t>
            </w:r>
          </w:p>
        </w:tc>
      </w:tr>
      <w:tr w14:paraId="275AF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0C46FF0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0077686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3949CD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/>
              </w:rPr>
              <w:t>5.其他法律法规规章文件规定应履行的责任。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0151D2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/>
              </w:rPr>
              <w:t>《代理记账管理办法》（财政部令第27号）第三条：“申请设立除会计师事务所以外的代理记账机构，应当经所在地的县级以上人民政府财政部门批准，并领取由财政部统一印制的代理记账许可证书。具体审批机关由省、自治区、直辖市、计划单列市人民政府财政部门确定。”</w:t>
            </w:r>
          </w:p>
        </w:tc>
      </w:tr>
      <w:tr w14:paraId="69B66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54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48F16D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pacing w:val="0"/>
                <w:sz w:val="31"/>
                <w:szCs w:val="31"/>
              </w:rPr>
              <w:t>2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4991EC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/>
              </w:rPr>
              <w:t>采购人、采购代理机构政府采购违法行为的处罚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1377DB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/>
              </w:rPr>
              <w:t>1.立案责任：对监督检查、处理投诉中发现，或者接到举报，或经有关部门移送此类违法案件予以审查，决定是否立案。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403A7E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/>
              </w:rPr>
              <w:t>《中华人民共和国政府采购法》第七十二条：“采购人、采购代理机构及其工作人员有下列情形之一，构成犯罪的，依法追究刑事责任；尚不构成犯罪的，处以罚款，有违法所得的，并处没收违法所得，属于国家机关工作人员的，依法给予行政处分：</w:t>
            </w:r>
          </w:p>
        </w:tc>
      </w:tr>
      <w:tr w14:paraId="10DE0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016B14D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56DBB03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42A24C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/>
              </w:rPr>
              <w:t>2.调查责任：对立案的案件，案件承办人员及时、全面、客观、公正地调查收集与案件有关的证据，查明事实，必要时可进行现场检查。与当事人有直接利害关系的应当回避；执法人员不得少于两人；调查取证时应出示执法证件；允许当事人辩解陈诉。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2AAB31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/>
              </w:rPr>
              <w:t xml:space="preserve">《中华人民共和国政府采购法实施条例》（国务院令第658号）第六十六条：“政府采购法第七十一条规定的罚款，数额为10万元以下。政府采购法第七十二条规定的罚款，数额为5万元以上25万元以下。” </w:t>
            </w:r>
          </w:p>
        </w:tc>
      </w:tr>
      <w:tr w14:paraId="02879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514CDF5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115BBA6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1753E2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/>
              </w:rPr>
              <w:t>3.审查责任：对案件违法事实、证据、调查取证程序、法律适用、处罚种类和幅度、当事人陈诉和申辩理由等方面进行审查，提出处理意见。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6E1930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textAlignment w:val="center"/>
            </w:pPr>
            <w:r>
              <w:rPr>
                <w:rFonts w:hint="eastAsia"/>
              </w:rPr>
              <w:t>《中华人民共和国政府采购法》第七十六条：“采购人、采购代理机构违反本法规定隐匿、销毁应当保存的采购文件或者伪造、变造采购文件的，由政府采购监督管理部门处以二万元以上十万元以下的罚款，对其直接负责的主管人员和其他直接责任人员依法给予处分；构成犯罪的，依法追究刑事责任。”</w:t>
            </w:r>
          </w:p>
        </w:tc>
      </w:tr>
    </w:tbl>
    <w:p w14:paraId="5D0636E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MzZkNmUwZDBhMDVjMDFiMjQ1MWM1YzU2YzhlNjcifQ=="/>
  </w:docVars>
  <w:rsids>
    <w:rsidRoot w:val="7F7E796C"/>
    <w:rsid w:val="017C4017"/>
    <w:rsid w:val="1B083691"/>
    <w:rsid w:val="1C132B04"/>
    <w:rsid w:val="4D322037"/>
    <w:rsid w:val="59DC7FDA"/>
    <w:rsid w:val="5B1B67B5"/>
    <w:rsid w:val="602A50B5"/>
    <w:rsid w:val="6A701C86"/>
    <w:rsid w:val="6C1978DA"/>
    <w:rsid w:val="7E962A62"/>
    <w:rsid w:val="7F7E79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1115</Words>
  <Characters>1128</Characters>
  <Lines>0</Lines>
  <Paragraphs>0</Paragraphs>
  <TotalTime>9</TotalTime>
  <ScaleCrop>false</ScaleCrop>
  <LinksUpToDate>false</LinksUpToDate>
  <CharactersWithSpaces>1129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2025-06-25T01:45:00Z</dcterms:created>
  <dc:creator>Canton FC</dc:creator>
  <cp:lastModifiedBy>haier</cp:lastModifiedBy>
  <dcterms:modified xsi:type="dcterms:W3CDTF">2025-07-23T03:58:55Z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630AFA6B8CD943E6B8FAE888222E3C6E_13</vt:lpwstr>
  </property>
  <property fmtid="{D5CDD505-2E9C-101B-9397-08002B2CF9AE}" pid="4" name="KSOTemplateDocerSaveRecord">
    <vt:lpwstr>eyJoZGlkIjoiY2MyZTJiN2E3ZWIyMmU3MDU0NGE5YTYxZDgxMmY4YjAiLCJ1c2VySWQiOiI5MDU4OTAyMDUifQ==</vt:lpwstr>
  </property>
</Properties>
</file>