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4"/>
        <w:tblW w:w="0" w:type="auto"/>
        <w:tblInd w:w="3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63"/>
      </w:tblGrid>
      <w:tr w14:paraId="75F35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8" w:hRule="atLeast"/>
        </w:trPr>
        <w:tc>
          <w:tcPr>
            <w:tcW w:w="14174" w:type="dxa"/>
          </w:tcPr>
          <w:p w14:paraId="1F4D9218">
            <w:pPr>
              <w:widowControl/>
              <w:spacing w:after="32" w:line="256" w:lineRule="auto"/>
              <w:ind w:left="311"/>
              <w:jc w:val="center"/>
              <w:rPr>
                <w:rFonts w:hint="eastAsia" w:ascii="仿宋" w:hAnsi="仿宋" w:eastAsia="仿宋" w:cs="仿宋"/>
                <w:b/>
                <w:bCs/>
                <w:sz w:val="36"/>
                <w:szCs w:val="36"/>
              </w:rPr>
            </w:pPr>
            <w:r>
              <w:rPr>
                <w:rFonts w:hint="eastAsia" w:ascii="仿宋" w:hAnsi="仿宋" w:eastAsia="仿宋" w:cs="仿宋"/>
                <w:b/>
                <w:bCs/>
                <w:color w:val="000000"/>
                <w:sz w:val="36"/>
                <w:szCs w:val="36"/>
                <w:lang w:val="en-US" w:eastAsia="zh-CN" w:bidi="ar"/>
              </w:rPr>
              <w:t>新野县农业农村局</w:t>
            </w:r>
            <w:r>
              <w:rPr>
                <w:rFonts w:hint="eastAsia" w:ascii="仿宋" w:hAnsi="仿宋" w:eastAsia="仿宋" w:cs="仿宋"/>
                <w:b/>
                <w:bCs/>
                <w:color w:val="000000"/>
                <w:sz w:val="36"/>
                <w:szCs w:val="36"/>
                <w:lang w:bidi="ar"/>
              </w:rPr>
              <w:t>涉企行政检查公示专栏</w:t>
            </w:r>
          </w:p>
          <w:p w14:paraId="6E5BACEF">
            <w:pPr>
              <w:widowControl/>
              <w:spacing w:line="256" w:lineRule="auto"/>
              <w:ind w:right="289"/>
              <w:jc w:val="center"/>
              <w:rPr>
                <w:rFonts w:hint="eastAsia" w:ascii="仿宋" w:hAnsi="仿宋" w:eastAsia="仿宋" w:cs="仿宋"/>
                <w:b/>
                <w:bCs/>
                <w:sz w:val="36"/>
                <w:szCs w:val="36"/>
                <w:lang w:eastAsia="zh-CN"/>
              </w:rPr>
            </w:pPr>
            <w:r>
              <w:rPr>
                <w:rFonts w:hint="eastAsia" w:ascii="仿宋" w:hAnsi="仿宋" w:eastAsia="仿宋" w:cs="仿宋"/>
                <w:b/>
                <w:bCs/>
                <w:color w:val="000000"/>
                <w:sz w:val="36"/>
                <w:szCs w:val="36"/>
                <w:lang w:bidi="ar"/>
              </w:rPr>
              <w:t>检查</w:t>
            </w:r>
            <w:r>
              <w:rPr>
                <w:rFonts w:hint="eastAsia" w:ascii="仿宋" w:hAnsi="仿宋" w:eastAsia="仿宋" w:cs="仿宋"/>
                <w:b/>
                <w:bCs/>
                <w:color w:val="000000"/>
                <w:sz w:val="36"/>
                <w:szCs w:val="36"/>
                <w:lang w:val="en-US" w:eastAsia="zh-CN" w:bidi="ar"/>
              </w:rPr>
              <w:t>上限</w:t>
            </w:r>
          </w:p>
          <w:tbl>
            <w:tblPr>
              <w:tblStyle w:val="34"/>
              <w:tblW w:w="12406" w:type="dxa"/>
              <w:tblInd w:w="638" w:type="dxa"/>
              <w:tblLayout w:type="autofit"/>
              <w:tblCellMar>
                <w:top w:w="12" w:type="dxa"/>
                <w:left w:w="71" w:type="dxa"/>
                <w:bottom w:w="0" w:type="dxa"/>
                <w:right w:w="90" w:type="dxa"/>
              </w:tblCellMar>
            </w:tblPr>
            <w:tblGrid>
              <w:gridCol w:w="476"/>
              <w:gridCol w:w="5311"/>
              <w:gridCol w:w="6619"/>
            </w:tblGrid>
            <w:tr w14:paraId="44F6CF20">
              <w:tblPrEx>
                <w:tblCellMar>
                  <w:top w:w="12" w:type="dxa"/>
                  <w:left w:w="71" w:type="dxa"/>
                  <w:bottom w:w="0" w:type="dxa"/>
                  <w:right w:w="90" w:type="dxa"/>
                </w:tblCellMar>
              </w:tblPrEx>
              <w:trPr>
                <w:trHeight w:val="558" w:hRule="atLeast"/>
              </w:trPr>
              <w:tc>
                <w:tcPr>
                  <w:tcW w:w="476" w:type="dxa"/>
                  <w:tcBorders>
                    <w:top w:val="single" w:color="000000" w:sz="2" w:space="0"/>
                    <w:left w:val="single" w:color="000000" w:sz="2" w:space="0"/>
                    <w:bottom w:val="single" w:color="000000" w:sz="2" w:space="0"/>
                    <w:right w:val="single" w:color="000000" w:sz="2" w:space="0"/>
                  </w:tcBorders>
                  <w:shd w:val="clear" w:color="auto" w:fill="auto"/>
                </w:tcPr>
                <w:p w14:paraId="2B99BE68">
                  <w:pPr>
                    <w:widowControl/>
                    <w:spacing w:line="256" w:lineRule="auto"/>
                    <w:jc w:val="left"/>
                    <w:rPr>
                      <w:rFonts w:hint="eastAsia" w:ascii="仿宋" w:hAnsi="仿宋" w:eastAsia="仿宋" w:cs="仿宋"/>
                      <w:sz w:val="30"/>
                      <w:szCs w:val="30"/>
                    </w:rPr>
                  </w:pPr>
                </w:p>
              </w:tc>
              <w:tc>
                <w:tcPr>
                  <w:tcW w:w="5311" w:type="dxa"/>
                  <w:tcBorders>
                    <w:top w:val="single" w:color="000000" w:sz="2" w:space="0"/>
                    <w:left w:val="single" w:color="000000" w:sz="2" w:space="0"/>
                    <w:bottom w:val="single" w:color="000000" w:sz="2" w:space="0"/>
                    <w:right w:val="single" w:color="000000" w:sz="2" w:space="0"/>
                  </w:tcBorders>
                  <w:shd w:val="clear" w:color="auto" w:fill="auto"/>
                </w:tcPr>
                <w:p w14:paraId="53DBF8EC">
                  <w:pPr>
                    <w:widowControl/>
                    <w:spacing w:line="256" w:lineRule="auto"/>
                    <w:ind w:firstLine="964" w:firstLineChars="300"/>
                    <w:rPr>
                      <w:rFonts w:hint="eastAsia" w:ascii="仿宋" w:hAnsi="仿宋" w:eastAsia="仿宋" w:cs="仿宋"/>
                      <w:b/>
                      <w:bCs/>
                      <w:sz w:val="32"/>
                      <w:szCs w:val="32"/>
                    </w:rPr>
                  </w:pPr>
                  <w:bookmarkStart w:id="0" w:name="_GoBack"/>
                  <w:bookmarkEnd w:id="0"/>
                  <w:r>
                    <w:rPr>
                      <w:rFonts w:hint="eastAsia" w:ascii="仿宋" w:hAnsi="仿宋" w:eastAsia="仿宋" w:cs="仿宋"/>
                      <w:b/>
                      <w:bCs/>
                      <w:color w:val="000000"/>
                      <w:sz w:val="32"/>
                      <w:szCs w:val="32"/>
                      <w:lang w:bidi="ar"/>
                    </w:rPr>
                    <w:t>行政检查事项名称</w:t>
                  </w:r>
                </w:p>
              </w:tc>
              <w:tc>
                <w:tcPr>
                  <w:tcW w:w="6619" w:type="dxa"/>
                  <w:tcBorders>
                    <w:top w:val="single" w:color="000000" w:sz="2" w:space="0"/>
                    <w:left w:val="single" w:color="000000" w:sz="2" w:space="0"/>
                    <w:bottom w:val="single" w:color="000000" w:sz="2" w:space="0"/>
                    <w:right w:val="single" w:color="000000" w:sz="2" w:space="0"/>
                  </w:tcBorders>
                  <w:shd w:val="clear" w:color="auto" w:fill="auto"/>
                  <w:vAlign w:val="center"/>
                </w:tcPr>
                <w:p w14:paraId="22AD93C9">
                  <w:pPr>
                    <w:widowControl/>
                    <w:spacing w:line="256" w:lineRule="auto"/>
                    <w:jc w:val="center"/>
                    <w:rPr>
                      <w:rFonts w:hint="eastAsia" w:ascii="仿宋" w:hAnsi="仿宋" w:eastAsia="仿宋" w:cs="仿宋"/>
                      <w:b/>
                      <w:bCs/>
                      <w:sz w:val="32"/>
                      <w:szCs w:val="32"/>
                      <w:lang w:eastAsia="zh-CN"/>
                    </w:rPr>
                  </w:pPr>
                  <w:r>
                    <w:rPr>
                      <w:rFonts w:hint="eastAsia" w:ascii="仿宋" w:hAnsi="仿宋" w:eastAsia="仿宋" w:cs="仿宋"/>
                      <w:b/>
                      <w:bCs/>
                      <w:color w:val="000000"/>
                      <w:sz w:val="32"/>
                      <w:szCs w:val="32"/>
                      <w:lang w:bidi="ar"/>
                    </w:rPr>
                    <w:t>检查</w:t>
                  </w:r>
                  <w:r>
                    <w:rPr>
                      <w:rFonts w:hint="eastAsia" w:ascii="仿宋" w:hAnsi="仿宋" w:eastAsia="仿宋" w:cs="仿宋"/>
                      <w:b/>
                      <w:bCs/>
                      <w:color w:val="000000"/>
                      <w:sz w:val="32"/>
                      <w:szCs w:val="32"/>
                      <w:lang w:val="en-US" w:eastAsia="zh-CN" w:bidi="ar"/>
                    </w:rPr>
                    <w:t>上限</w:t>
                  </w:r>
                </w:p>
              </w:tc>
            </w:tr>
            <w:tr w14:paraId="31709B8C">
              <w:tblPrEx>
                <w:tblCellMar>
                  <w:top w:w="12" w:type="dxa"/>
                  <w:left w:w="71" w:type="dxa"/>
                  <w:bottom w:w="0" w:type="dxa"/>
                  <w:right w:w="90" w:type="dxa"/>
                </w:tblCellMar>
              </w:tblPrEx>
              <w:trPr>
                <w:trHeight w:val="525" w:hRule="atLeast"/>
              </w:trPr>
              <w:tc>
                <w:tcPr>
                  <w:tcW w:w="476" w:type="dxa"/>
                  <w:tcBorders>
                    <w:top w:val="single" w:color="000000" w:sz="2" w:space="0"/>
                    <w:left w:val="single" w:color="000000" w:sz="2" w:space="0"/>
                    <w:bottom w:val="single" w:color="000000" w:sz="2" w:space="0"/>
                    <w:right w:val="single" w:color="000000" w:sz="2" w:space="0"/>
                  </w:tcBorders>
                  <w:shd w:val="clear" w:color="auto" w:fill="auto"/>
                </w:tcPr>
                <w:p w14:paraId="32B6809A">
                  <w:pPr>
                    <w:pStyle w:val="29"/>
                    <w:widowControl/>
                    <w:numPr>
                      <w:ilvl w:val="0"/>
                      <w:numId w:val="1"/>
                    </w:numPr>
                    <w:spacing w:line="256" w:lineRule="auto"/>
                    <w:jc w:val="left"/>
                    <w:rPr>
                      <w:rFonts w:hint="eastAsia" w:ascii="仿宋" w:hAnsi="仿宋" w:eastAsia="仿宋" w:cs="仿宋"/>
                      <w:sz w:val="30"/>
                      <w:szCs w:val="30"/>
                    </w:rPr>
                  </w:pPr>
                </w:p>
              </w:tc>
              <w:tc>
                <w:tcPr>
                  <w:tcW w:w="5311" w:type="dxa"/>
                  <w:tcBorders>
                    <w:top w:val="single" w:color="000000" w:sz="2" w:space="0"/>
                    <w:left w:val="single" w:color="000000" w:sz="2" w:space="0"/>
                    <w:bottom w:val="single" w:color="000000" w:sz="2" w:space="0"/>
                    <w:right w:val="single" w:color="000000" w:sz="2" w:space="0"/>
                  </w:tcBorders>
                  <w:shd w:val="clear" w:color="auto" w:fill="auto"/>
                  <w:vAlign w:val="center"/>
                </w:tcPr>
                <w:p w14:paraId="1257B340">
                  <w:pPr>
                    <w:keepNext w:val="0"/>
                    <w:keepLines w:val="0"/>
                    <w:widowControl/>
                    <w:suppressLineNumbers w:val="0"/>
                    <w:jc w:val="left"/>
                    <w:textAlignment w:val="center"/>
                    <w:rPr>
                      <w:rFonts w:hint="eastAsia" w:ascii="仿宋" w:hAnsi="仿宋" w:eastAsia="仿宋" w:cs="仿宋"/>
                      <w:sz w:val="30"/>
                      <w:szCs w:val="30"/>
                    </w:rPr>
                  </w:pPr>
                  <w:r>
                    <w:rPr>
                      <w:rStyle w:val="35"/>
                      <w:rFonts w:hint="eastAsia" w:ascii="仿宋" w:hAnsi="仿宋" w:eastAsia="仿宋" w:cs="仿宋"/>
                      <w:sz w:val="30"/>
                      <w:szCs w:val="30"/>
                      <w:lang w:val="en-US" w:eastAsia="zh-CN" w:bidi="ar"/>
                    </w:rPr>
                    <w:t>禽畜养殖场所喂养饲料的行政检查（</w:t>
                  </w:r>
                  <w:r>
                    <w:rPr>
                      <w:rStyle w:val="36"/>
                      <w:rFonts w:hint="eastAsia" w:ascii="仿宋" w:hAnsi="仿宋" w:eastAsia="仿宋" w:cs="仿宋"/>
                      <w:sz w:val="30"/>
                      <w:szCs w:val="30"/>
                      <w:lang w:val="en-US" w:eastAsia="zh-CN" w:bidi="ar"/>
                    </w:rPr>
                    <w:t>1</w:t>
                  </w:r>
                  <w:r>
                    <w:rPr>
                      <w:rStyle w:val="35"/>
                      <w:rFonts w:hint="eastAsia" w:ascii="仿宋" w:hAnsi="仿宋" w:eastAsia="仿宋" w:cs="仿宋"/>
                      <w:sz w:val="30"/>
                      <w:szCs w:val="30"/>
                      <w:lang w:val="en-US" w:eastAsia="zh-CN" w:bidi="ar"/>
                    </w:rPr>
                    <w:t>）</w:t>
                  </w:r>
                </w:p>
              </w:tc>
              <w:tc>
                <w:tcPr>
                  <w:tcW w:w="6619" w:type="dxa"/>
                  <w:tcBorders>
                    <w:top w:val="single" w:color="000000" w:sz="2" w:space="0"/>
                    <w:left w:val="single" w:color="000000" w:sz="2" w:space="0"/>
                    <w:bottom w:val="single" w:color="000000" w:sz="2" w:space="0"/>
                    <w:right w:val="single" w:color="000000" w:sz="2" w:space="0"/>
                  </w:tcBorders>
                  <w:shd w:val="clear" w:color="auto" w:fill="auto"/>
                </w:tcPr>
                <w:p w14:paraId="6CE48380">
                  <w:pPr>
                    <w:rPr>
                      <w:rFonts w:hint="eastAsia" w:ascii="仿宋" w:hAnsi="仿宋" w:eastAsia="仿宋" w:cs="仿宋"/>
                      <w:sz w:val="30"/>
                      <w:szCs w:val="30"/>
                    </w:rPr>
                  </w:pPr>
                  <w:r>
                    <w:rPr>
                      <w:rFonts w:hint="eastAsia" w:ascii="仿宋" w:hAnsi="仿宋" w:eastAsia="仿宋" w:cs="仿宋"/>
                      <w:sz w:val="30"/>
                      <w:szCs w:val="30"/>
                    </w:rPr>
                    <w:t>一般2次/年。</w:t>
                  </w:r>
                </w:p>
              </w:tc>
            </w:tr>
            <w:tr w14:paraId="1633C735">
              <w:tblPrEx>
                <w:tblCellMar>
                  <w:top w:w="12" w:type="dxa"/>
                  <w:left w:w="71" w:type="dxa"/>
                  <w:bottom w:w="0" w:type="dxa"/>
                  <w:right w:w="90" w:type="dxa"/>
                </w:tblCellMar>
              </w:tblPrEx>
              <w:trPr>
                <w:trHeight w:val="547" w:hRule="atLeast"/>
              </w:trPr>
              <w:tc>
                <w:tcPr>
                  <w:tcW w:w="476" w:type="dxa"/>
                  <w:tcBorders>
                    <w:top w:val="single" w:color="000000" w:sz="2" w:space="0"/>
                    <w:left w:val="single" w:color="000000" w:sz="2" w:space="0"/>
                    <w:bottom w:val="single" w:color="000000" w:sz="2" w:space="0"/>
                    <w:right w:val="single" w:color="000000" w:sz="2" w:space="0"/>
                  </w:tcBorders>
                  <w:shd w:val="clear" w:color="auto" w:fill="auto"/>
                </w:tcPr>
                <w:p w14:paraId="09DDF2ED">
                  <w:pPr>
                    <w:pStyle w:val="29"/>
                    <w:widowControl/>
                    <w:numPr>
                      <w:ilvl w:val="0"/>
                      <w:numId w:val="1"/>
                    </w:numPr>
                    <w:spacing w:line="256" w:lineRule="auto"/>
                    <w:jc w:val="left"/>
                    <w:rPr>
                      <w:rFonts w:hint="eastAsia" w:ascii="仿宋" w:hAnsi="仿宋" w:eastAsia="仿宋" w:cs="仿宋"/>
                      <w:sz w:val="30"/>
                      <w:szCs w:val="30"/>
                    </w:rPr>
                  </w:pPr>
                </w:p>
              </w:tc>
              <w:tc>
                <w:tcPr>
                  <w:tcW w:w="5311" w:type="dxa"/>
                  <w:tcBorders>
                    <w:top w:val="single" w:color="000000" w:sz="2" w:space="0"/>
                    <w:left w:val="single" w:color="000000" w:sz="2" w:space="0"/>
                    <w:bottom w:val="single" w:color="000000" w:sz="2" w:space="0"/>
                    <w:right w:val="single" w:color="000000" w:sz="2" w:space="0"/>
                  </w:tcBorders>
                  <w:shd w:val="clear" w:color="auto" w:fill="auto"/>
                  <w:vAlign w:val="center"/>
                </w:tcPr>
                <w:p w14:paraId="6ECF47D1">
                  <w:pPr>
                    <w:keepNext w:val="0"/>
                    <w:keepLines w:val="0"/>
                    <w:widowControl/>
                    <w:suppressLineNumbers w:val="0"/>
                    <w:jc w:val="left"/>
                    <w:textAlignment w:val="center"/>
                    <w:rPr>
                      <w:rFonts w:hint="eastAsia" w:ascii="仿宋" w:hAnsi="仿宋" w:eastAsia="仿宋" w:cs="仿宋"/>
                      <w:sz w:val="30"/>
                      <w:szCs w:val="30"/>
                    </w:rPr>
                  </w:pPr>
                  <w:r>
                    <w:rPr>
                      <w:rStyle w:val="35"/>
                      <w:rFonts w:hint="eastAsia" w:ascii="仿宋" w:hAnsi="仿宋" w:eastAsia="仿宋" w:cs="仿宋"/>
                      <w:sz w:val="30"/>
                      <w:szCs w:val="30"/>
                      <w:lang w:val="en-US" w:eastAsia="zh-CN" w:bidi="ar"/>
                    </w:rPr>
                    <w:t>对农业机械维修及配件经营的行政检查（</w:t>
                  </w:r>
                  <w:r>
                    <w:rPr>
                      <w:rStyle w:val="36"/>
                      <w:rFonts w:hint="eastAsia" w:ascii="仿宋" w:hAnsi="仿宋" w:eastAsia="仿宋" w:cs="仿宋"/>
                      <w:sz w:val="30"/>
                      <w:szCs w:val="30"/>
                      <w:lang w:val="en-US" w:eastAsia="zh-CN" w:bidi="ar"/>
                    </w:rPr>
                    <w:t>1</w:t>
                  </w:r>
                  <w:r>
                    <w:rPr>
                      <w:rStyle w:val="35"/>
                      <w:rFonts w:hint="eastAsia" w:ascii="仿宋" w:hAnsi="仿宋" w:eastAsia="仿宋" w:cs="仿宋"/>
                      <w:sz w:val="30"/>
                      <w:szCs w:val="30"/>
                      <w:lang w:val="en-US" w:eastAsia="zh-CN" w:bidi="ar"/>
                    </w:rPr>
                    <w:t>）</w:t>
                  </w:r>
                </w:p>
              </w:tc>
              <w:tc>
                <w:tcPr>
                  <w:tcW w:w="6619" w:type="dxa"/>
                  <w:tcBorders>
                    <w:top w:val="single" w:color="000000" w:sz="2" w:space="0"/>
                    <w:left w:val="single" w:color="000000" w:sz="2" w:space="0"/>
                    <w:bottom w:val="single" w:color="000000" w:sz="2" w:space="0"/>
                    <w:right w:val="single" w:color="000000" w:sz="2" w:space="0"/>
                  </w:tcBorders>
                  <w:shd w:val="clear" w:color="auto" w:fill="auto"/>
                </w:tcPr>
                <w:p w14:paraId="5F0BBC82">
                  <w:pPr>
                    <w:rPr>
                      <w:rFonts w:hint="eastAsia" w:ascii="仿宋" w:hAnsi="仿宋" w:eastAsia="仿宋" w:cs="仿宋"/>
                      <w:sz w:val="30"/>
                      <w:szCs w:val="30"/>
                    </w:rPr>
                  </w:pPr>
                  <w:r>
                    <w:rPr>
                      <w:rFonts w:hint="eastAsia" w:ascii="仿宋" w:hAnsi="仿宋" w:eastAsia="仿宋" w:cs="仿宋"/>
                      <w:sz w:val="30"/>
                      <w:szCs w:val="30"/>
                    </w:rPr>
                    <w:t>一般2次/年</w:t>
                  </w:r>
                </w:p>
              </w:tc>
            </w:tr>
            <w:tr w14:paraId="1443C447">
              <w:tblPrEx>
                <w:tblCellMar>
                  <w:top w:w="12" w:type="dxa"/>
                  <w:left w:w="71" w:type="dxa"/>
                  <w:bottom w:w="0" w:type="dxa"/>
                  <w:right w:w="90" w:type="dxa"/>
                </w:tblCellMar>
              </w:tblPrEx>
              <w:trPr>
                <w:trHeight w:val="527" w:hRule="atLeast"/>
              </w:trPr>
              <w:tc>
                <w:tcPr>
                  <w:tcW w:w="476" w:type="dxa"/>
                  <w:tcBorders>
                    <w:top w:val="single" w:color="000000" w:sz="2" w:space="0"/>
                    <w:left w:val="single" w:color="000000" w:sz="2" w:space="0"/>
                    <w:bottom w:val="single" w:color="000000" w:sz="2" w:space="0"/>
                    <w:right w:val="single" w:color="000000" w:sz="2" w:space="0"/>
                  </w:tcBorders>
                  <w:shd w:val="clear" w:color="auto" w:fill="auto"/>
                </w:tcPr>
                <w:p w14:paraId="2594BB03">
                  <w:pPr>
                    <w:pStyle w:val="29"/>
                    <w:widowControl/>
                    <w:numPr>
                      <w:ilvl w:val="0"/>
                      <w:numId w:val="1"/>
                    </w:numPr>
                    <w:spacing w:line="256" w:lineRule="auto"/>
                    <w:jc w:val="left"/>
                    <w:rPr>
                      <w:rFonts w:hint="eastAsia" w:ascii="仿宋" w:hAnsi="仿宋" w:eastAsia="仿宋" w:cs="仿宋"/>
                      <w:sz w:val="30"/>
                      <w:szCs w:val="30"/>
                    </w:rPr>
                  </w:pPr>
                </w:p>
              </w:tc>
              <w:tc>
                <w:tcPr>
                  <w:tcW w:w="5311" w:type="dxa"/>
                  <w:tcBorders>
                    <w:top w:val="single" w:color="000000" w:sz="2" w:space="0"/>
                    <w:left w:val="single" w:color="000000" w:sz="2" w:space="0"/>
                    <w:bottom w:val="single" w:color="000000" w:sz="2" w:space="0"/>
                    <w:right w:val="single" w:color="000000" w:sz="2" w:space="0"/>
                  </w:tcBorders>
                  <w:shd w:val="clear" w:color="auto" w:fill="auto"/>
                  <w:vAlign w:val="center"/>
                </w:tcPr>
                <w:p w14:paraId="44C763EE">
                  <w:pPr>
                    <w:keepNext w:val="0"/>
                    <w:keepLines w:val="0"/>
                    <w:widowControl/>
                    <w:suppressLineNumbers w:val="0"/>
                    <w:jc w:val="left"/>
                    <w:textAlignment w:val="center"/>
                    <w:rPr>
                      <w:rFonts w:hint="eastAsia" w:ascii="仿宋" w:hAnsi="仿宋" w:eastAsia="仿宋" w:cs="仿宋"/>
                      <w:sz w:val="30"/>
                      <w:szCs w:val="30"/>
                    </w:rPr>
                  </w:pPr>
                  <w:r>
                    <w:rPr>
                      <w:rStyle w:val="35"/>
                      <w:rFonts w:hint="eastAsia" w:ascii="仿宋" w:hAnsi="仿宋" w:eastAsia="仿宋" w:cs="仿宋"/>
                      <w:sz w:val="30"/>
                      <w:szCs w:val="30"/>
                      <w:lang w:val="en-US" w:eastAsia="zh-CN" w:bidi="ar"/>
                    </w:rPr>
                    <w:t>对渔业船员及培训机构监督检查的行政检查（</w:t>
                  </w:r>
                  <w:r>
                    <w:rPr>
                      <w:rStyle w:val="36"/>
                      <w:rFonts w:hint="eastAsia" w:ascii="仿宋" w:hAnsi="仿宋" w:eastAsia="仿宋" w:cs="仿宋"/>
                      <w:sz w:val="30"/>
                      <w:szCs w:val="30"/>
                      <w:lang w:val="en-US" w:eastAsia="zh-CN" w:bidi="ar"/>
                    </w:rPr>
                    <w:t>1</w:t>
                  </w:r>
                  <w:r>
                    <w:rPr>
                      <w:rStyle w:val="35"/>
                      <w:rFonts w:hint="eastAsia" w:ascii="仿宋" w:hAnsi="仿宋" w:eastAsia="仿宋" w:cs="仿宋"/>
                      <w:sz w:val="30"/>
                      <w:szCs w:val="30"/>
                      <w:lang w:val="en-US" w:eastAsia="zh-CN" w:bidi="ar"/>
                    </w:rPr>
                    <w:t>）</w:t>
                  </w:r>
                </w:p>
              </w:tc>
              <w:tc>
                <w:tcPr>
                  <w:tcW w:w="6619" w:type="dxa"/>
                  <w:tcBorders>
                    <w:top w:val="single" w:color="000000" w:sz="2" w:space="0"/>
                    <w:left w:val="single" w:color="000000" w:sz="2" w:space="0"/>
                    <w:bottom w:val="single" w:color="000000" w:sz="2" w:space="0"/>
                    <w:right w:val="single" w:color="000000" w:sz="2" w:space="0"/>
                  </w:tcBorders>
                  <w:shd w:val="clear" w:color="auto" w:fill="auto"/>
                </w:tcPr>
                <w:p w14:paraId="67F5C92B">
                  <w:pPr>
                    <w:rPr>
                      <w:rFonts w:hint="eastAsia" w:ascii="仿宋" w:hAnsi="仿宋" w:eastAsia="仿宋" w:cs="仿宋"/>
                      <w:sz w:val="30"/>
                      <w:szCs w:val="30"/>
                    </w:rPr>
                  </w:pPr>
                  <w:r>
                    <w:rPr>
                      <w:rFonts w:hint="eastAsia" w:ascii="仿宋" w:hAnsi="仿宋" w:eastAsia="仿宋" w:cs="仿宋"/>
                      <w:sz w:val="30"/>
                      <w:szCs w:val="30"/>
                    </w:rPr>
                    <w:t>一般2次/年</w:t>
                  </w:r>
                </w:p>
              </w:tc>
            </w:tr>
            <w:tr w14:paraId="1FC4D5E2">
              <w:tblPrEx>
                <w:tblCellMar>
                  <w:top w:w="12" w:type="dxa"/>
                  <w:left w:w="71" w:type="dxa"/>
                  <w:bottom w:w="0" w:type="dxa"/>
                  <w:right w:w="90" w:type="dxa"/>
                </w:tblCellMar>
              </w:tblPrEx>
              <w:trPr>
                <w:trHeight w:val="527" w:hRule="atLeast"/>
              </w:trPr>
              <w:tc>
                <w:tcPr>
                  <w:tcW w:w="476" w:type="dxa"/>
                  <w:tcBorders>
                    <w:top w:val="single" w:color="000000" w:sz="2" w:space="0"/>
                    <w:left w:val="single" w:color="000000" w:sz="2" w:space="0"/>
                    <w:bottom w:val="single" w:color="000000" w:sz="2" w:space="0"/>
                    <w:right w:val="single" w:color="000000" w:sz="2" w:space="0"/>
                  </w:tcBorders>
                  <w:shd w:val="clear" w:color="auto" w:fill="auto"/>
                </w:tcPr>
                <w:p w14:paraId="4D87A2A7">
                  <w:pPr>
                    <w:pStyle w:val="29"/>
                    <w:widowControl/>
                    <w:numPr>
                      <w:ilvl w:val="0"/>
                      <w:numId w:val="1"/>
                    </w:numPr>
                    <w:spacing w:line="256" w:lineRule="auto"/>
                    <w:jc w:val="left"/>
                    <w:rPr>
                      <w:rFonts w:hint="eastAsia" w:ascii="仿宋" w:hAnsi="仿宋" w:eastAsia="仿宋" w:cs="仿宋"/>
                      <w:sz w:val="30"/>
                      <w:szCs w:val="30"/>
                    </w:rPr>
                  </w:pPr>
                </w:p>
              </w:tc>
              <w:tc>
                <w:tcPr>
                  <w:tcW w:w="5311" w:type="dxa"/>
                  <w:tcBorders>
                    <w:top w:val="single" w:color="000000" w:sz="2" w:space="0"/>
                    <w:left w:val="single" w:color="000000" w:sz="2" w:space="0"/>
                    <w:bottom w:val="single" w:color="000000" w:sz="2" w:space="0"/>
                    <w:right w:val="single" w:color="000000" w:sz="2" w:space="0"/>
                  </w:tcBorders>
                  <w:shd w:val="clear" w:color="auto" w:fill="auto"/>
                  <w:vAlign w:val="center"/>
                </w:tcPr>
                <w:p w14:paraId="2CCAC2C6">
                  <w:pPr>
                    <w:keepNext w:val="0"/>
                    <w:keepLines w:val="0"/>
                    <w:widowControl/>
                    <w:suppressLineNumbers w:val="0"/>
                    <w:jc w:val="left"/>
                    <w:textAlignment w:val="center"/>
                    <w:rPr>
                      <w:rFonts w:hint="eastAsia" w:ascii="仿宋" w:hAnsi="仿宋" w:eastAsia="仿宋" w:cs="仿宋"/>
                      <w:sz w:val="30"/>
                      <w:szCs w:val="30"/>
                    </w:rPr>
                  </w:pPr>
                  <w:r>
                    <w:rPr>
                      <w:rStyle w:val="35"/>
                      <w:rFonts w:hint="eastAsia" w:ascii="仿宋" w:hAnsi="仿宋" w:eastAsia="仿宋" w:cs="仿宋"/>
                      <w:sz w:val="30"/>
                      <w:szCs w:val="30"/>
                      <w:lang w:val="en-US" w:eastAsia="zh-CN" w:bidi="ar"/>
                    </w:rPr>
                    <w:t>对肥料监督检查的行政检查（</w:t>
                  </w:r>
                  <w:r>
                    <w:rPr>
                      <w:rStyle w:val="36"/>
                      <w:rFonts w:hint="eastAsia" w:ascii="仿宋" w:hAnsi="仿宋" w:eastAsia="仿宋" w:cs="仿宋"/>
                      <w:sz w:val="30"/>
                      <w:szCs w:val="30"/>
                      <w:lang w:val="en-US" w:eastAsia="zh-CN" w:bidi="ar"/>
                    </w:rPr>
                    <w:t>1</w:t>
                  </w:r>
                  <w:r>
                    <w:rPr>
                      <w:rStyle w:val="35"/>
                      <w:rFonts w:hint="eastAsia" w:ascii="仿宋" w:hAnsi="仿宋" w:eastAsia="仿宋" w:cs="仿宋"/>
                      <w:sz w:val="30"/>
                      <w:szCs w:val="30"/>
                      <w:lang w:val="en-US" w:eastAsia="zh-CN" w:bidi="ar"/>
                    </w:rPr>
                    <w:t>）</w:t>
                  </w:r>
                </w:p>
              </w:tc>
              <w:tc>
                <w:tcPr>
                  <w:tcW w:w="6619" w:type="dxa"/>
                  <w:tcBorders>
                    <w:top w:val="single" w:color="000000" w:sz="2" w:space="0"/>
                    <w:left w:val="single" w:color="000000" w:sz="2" w:space="0"/>
                    <w:bottom w:val="single" w:color="000000" w:sz="2" w:space="0"/>
                    <w:right w:val="single" w:color="000000" w:sz="2" w:space="0"/>
                  </w:tcBorders>
                  <w:shd w:val="clear" w:color="auto" w:fill="auto"/>
                </w:tcPr>
                <w:p w14:paraId="61CDDD1C">
                  <w:pPr>
                    <w:rPr>
                      <w:rFonts w:hint="eastAsia" w:ascii="仿宋" w:hAnsi="仿宋" w:eastAsia="仿宋" w:cs="仿宋"/>
                      <w:sz w:val="30"/>
                      <w:szCs w:val="30"/>
                    </w:rPr>
                  </w:pPr>
                  <w:r>
                    <w:rPr>
                      <w:rFonts w:hint="eastAsia" w:ascii="仿宋" w:hAnsi="仿宋" w:eastAsia="仿宋" w:cs="仿宋"/>
                      <w:sz w:val="30"/>
                      <w:szCs w:val="30"/>
                    </w:rPr>
                    <w:t>一般2次/年</w:t>
                  </w:r>
                </w:p>
              </w:tc>
            </w:tr>
            <w:tr w14:paraId="7B1F5A45">
              <w:tblPrEx>
                <w:tblCellMar>
                  <w:top w:w="12" w:type="dxa"/>
                  <w:left w:w="71" w:type="dxa"/>
                  <w:bottom w:w="0" w:type="dxa"/>
                  <w:right w:w="90" w:type="dxa"/>
                </w:tblCellMar>
              </w:tblPrEx>
              <w:trPr>
                <w:trHeight w:val="527" w:hRule="atLeast"/>
              </w:trPr>
              <w:tc>
                <w:tcPr>
                  <w:tcW w:w="476" w:type="dxa"/>
                  <w:tcBorders>
                    <w:top w:val="single" w:color="000000" w:sz="2" w:space="0"/>
                    <w:left w:val="single" w:color="000000" w:sz="2" w:space="0"/>
                    <w:bottom w:val="single" w:color="000000" w:sz="2" w:space="0"/>
                    <w:right w:val="single" w:color="000000" w:sz="2" w:space="0"/>
                  </w:tcBorders>
                  <w:shd w:val="clear" w:color="auto" w:fill="auto"/>
                </w:tcPr>
                <w:p w14:paraId="0797C6B0">
                  <w:pPr>
                    <w:pStyle w:val="29"/>
                    <w:widowControl/>
                    <w:numPr>
                      <w:ilvl w:val="0"/>
                      <w:numId w:val="1"/>
                    </w:numPr>
                    <w:spacing w:line="256" w:lineRule="auto"/>
                    <w:jc w:val="left"/>
                    <w:rPr>
                      <w:rFonts w:hint="eastAsia" w:ascii="仿宋" w:hAnsi="仿宋" w:eastAsia="仿宋" w:cs="仿宋"/>
                      <w:sz w:val="30"/>
                      <w:szCs w:val="30"/>
                    </w:rPr>
                  </w:pPr>
                </w:p>
              </w:tc>
              <w:tc>
                <w:tcPr>
                  <w:tcW w:w="5311" w:type="dxa"/>
                  <w:tcBorders>
                    <w:top w:val="single" w:color="000000" w:sz="2" w:space="0"/>
                    <w:left w:val="single" w:color="000000" w:sz="2" w:space="0"/>
                    <w:bottom w:val="single" w:color="000000" w:sz="2" w:space="0"/>
                    <w:right w:val="single" w:color="000000" w:sz="2" w:space="0"/>
                  </w:tcBorders>
                  <w:shd w:val="clear" w:color="auto" w:fill="auto"/>
                  <w:vAlign w:val="center"/>
                </w:tcPr>
                <w:p w14:paraId="059E7A2E">
                  <w:pPr>
                    <w:keepNext w:val="0"/>
                    <w:keepLines w:val="0"/>
                    <w:widowControl/>
                    <w:suppressLineNumbers w:val="0"/>
                    <w:jc w:val="left"/>
                    <w:textAlignment w:val="center"/>
                    <w:rPr>
                      <w:rFonts w:hint="eastAsia" w:ascii="仿宋" w:hAnsi="仿宋" w:eastAsia="仿宋" w:cs="仿宋"/>
                      <w:sz w:val="30"/>
                      <w:szCs w:val="30"/>
                    </w:rPr>
                  </w:pPr>
                  <w:r>
                    <w:rPr>
                      <w:rStyle w:val="35"/>
                      <w:rFonts w:hint="eastAsia" w:ascii="仿宋" w:hAnsi="仿宋" w:eastAsia="仿宋" w:cs="仿宋"/>
                      <w:sz w:val="30"/>
                      <w:szCs w:val="30"/>
                      <w:lang w:val="en-US" w:eastAsia="zh-CN" w:bidi="ar"/>
                    </w:rPr>
                    <w:t>对农业面源污染防治，推广科学施肥和农药安全使用技术，实施畜禽养殖禁养区和限养区制度，规范和指导畜禽养殖场、养殖小区按照规定收集、存贮、利用和处置畜禽养殖废弃物，规范畜禽养殖抗生素的使用，保护和改善水生态环境涉及农业农村部门职责的行政检查（</w:t>
                  </w:r>
                  <w:r>
                    <w:rPr>
                      <w:rStyle w:val="36"/>
                      <w:rFonts w:hint="eastAsia" w:ascii="仿宋" w:hAnsi="仿宋" w:eastAsia="仿宋" w:cs="仿宋"/>
                      <w:sz w:val="30"/>
                      <w:szCs w:val="30"/>
                      <w:lang w:val="en-US" w:eastAsia="zh-CN" w:bidi="ar"/>
                    </w:rPr>
                    <w:t>1</w:t>
                  </w:r>
                  <w:r>
                    <w:rPr>
                      <w:rStyle w:val="35"/>
                      <w:rFonts w:hint="eastAsia" w:ascii="仿宋" w:hAnsi="仿宋" w:eastAsia="仿宋" w:cs="仿宋"/>
                      <w:sz w:val="30"/>
                      <w:szCs w:val="30"/>
                      <w:lang w:val="en-US" w:eastAsia="zh-CN" w:bidi="ar"/>
                    </w:rPr>
                    <w:t>）</w:t>
                  </w:r>
                </w:p>
              </w:tc>
              <w:tc>
                <w:tcPr>
                  <w:tcW w:w="6619" w:type="dxa"/>
                  <w:tcBorders>
                    <w:top w:val="single" w:color="000000" w:sz="2" w:space="0"/>
                    <w:left w:val="single" w:color="000000" w:sz="2" w:space="0"/>
                    <w:bottom w:val="single" w:color="000000" w:sz="2" w:space="0"/>
                    <w:right w:val="single" w:color="000000" w:sz="2" w:space="0"/>
                  </w:tcBorders>
                  <w:shd w:val="clear" w:color="auto" w:fill="auto"/>
                </w:tcPr>
                <w:p w14:paraId="3B23F72A">
                  <w:pPr>
                    <w:rPr>
                      <w:rFonts w:hint="eastAsia" w:ascii="仿宋" w:hAnsi="仿宋" w:eastAsia="仿宋" w:cs="仿宋"/>
                      <w:sz w:val="30"/>
                      <w:szCs w:val="30"/>
                    </w:rPr>
                  </w:pPr>
                  <w:r>
                    <w:rPr>
                      <w:rFonts w:hint="eastAsia" w:ascii="仿宋" w:hAnsi="仿宋" w:eastAsia="仿宋" w:cs="仿宋"/>
                      <w:sz w:val="30"/>
                      <w:szCs w:val="30"/>
                    </w:rPr>
                    <w:t>一般2次/年</w:t>
                  </w:r>
                </w:p>
              </w:tc>
            </w:tr>
            <w:tr w14:paraId="51F29F26">
              <w:tblPrEx>
                <w:tblCellMar>
                  <w:top w:w="12" w:type="dxa"/>
                  <w:left w:w="71" w:type="dxa"/>
                  <w:bottom w:w="0" w:type="dxa"/>
                  <w:right w:w="90" w:type="dxa"/>
                </w:tblCellMar>
              </w:tblPrEx>
              <w:trPr>
                <w:trHeight w:val="527" w:hRule="atLeast"/>
              </w:trPr>
              <w:tc>
                <w:tcPr>
                  <w:tcW w:w="476" w:type="dxa"/>
                  <w:tcBorders>
                    <w:top w:val="single" w:color="000000" w:sz="2" w:space="0"/>
                    <w:left w:val="single" w:color="000000" w:sz="2" w:space="0"/>
                    <w:bottom w:val="single" w:color="000000" w:sz="2" w:space="0"/>
                    <w:right w:val="single" w:color="000000" w:sz="2" w:space="0"/>
                  </w:tcBorders>
                  <w:shd w:val="clear" w:color="auto" w:fill="auto"/>
                </w:tcPr>
                <w:p w14:paraId="2306090D">
                  <w:pPr>
                    <w:pStyle w:val="29"/>
                    <w:widowControl/>
                    <w:numPr>
                      <w:ilvl w:val="0"/>
                      <w:numId w:val="1"/>
                    </w:numPr>
                    <w:spacing w:line="256" w:lineRule="auto"/>
                    <w:jc w:val="left"/>
                    <w:rPr>
                      <w:rFonts w:hint="eastAsia" w:ascii="仿宋" w:hAnsi="仿宋" w:eastAsia="仿宋" w:cs="仿宋"/>
                      <w:sz w:val="30"/>
                      <w:szCs w:val="30"/>
                    </w:rPr>
                  </w:pPr>
                </w:p>
              </w:tc>
              <w:tc>
                <w:tcPr>
                  <w:tcW w:w="5311" w:type="dxa"/>
                  <w:tcBorders>
                    <w:top w:val="single" w:color="000000" w:sz="2" w:space="0"/>
                    <w:left w:val="single" w:color="000000" w:sz="2" w:space="0"/>
                    <w:bottom w:val="single" w:color="000000" w:sz="2" w:space="0"/>
                    <w:right w:val="single" w:color="000000" w:sz="2" w:space="0"/>
                  </w:tcBorders>
                  <w:shd w:val="clear" w:color="auto" w:fill="auto"/>
                  <w:vAlign w:val="center"/>
                </w:tcPr>
                <w:p w14:paraId="323A55C5">
                  <w:pPr>
                    <w:keepNext w:val="0"/>
                    <w:keepLines w:val="0"/>
                    <w:widowControl/>
                    <w:suppressLineNumbers w:val="0"/>
                    <w:jc w:val="left"/>
                    <w:textAlignment w:val="center"/>
                    <w:rPr>
                      <w:rFonts w:hint="eastAsia" w:ascii="仿宋" w:hAnsi="仿宋" w:eastAsia="仿宋" w:cs="仿宋"/>
                      <w:sz w:val="30"/>
                      <w:szCs w:val="30"/>
                    </w:rPr>
                  </w:pPr>
                  <w:r>
                    <w:rPr>
                      <w:rStyle w:val="35"/>
                      <w:rFonts w:hint="eastAsia" w:ascii="仿宋" w:hAnsi="仿宋" w:eastAsia="仿宋" w:cs="仿宋"/>
                      <w:sz w:val="30"/>
                      <w:szCs w:val="30"/>
                      <w:lang w:val="en-US" w:eastAsia="zh-CN" w:bidi="ar"/>
                    </w:rPr>
                    <w:t>对水生生物资源的保护，管理水生生物的引进和放生活动的行政检查（</w:t>
                  </w:r>
                  <w:r>
                    <w:rPr>
                      <w:rStyle w:val="36"/>
                      <w:rFonts w:hint="eastAsia" w:ascii="仿宋" w:hAnsi="仿宋" w:eastAsia="仿宋" w:cs="仿宋"/>
                      <w:sz w:val="30"/>
                      <w:szCs w:val="30"/>
                      <w:lang w:val="en-US" w:eastAsia="zh-CN" w:bidi="ar"/>
                    </w:rPr>
                    <w:t>1</w:t>
                  </w:r>
                  <w:r>
                    <w:rPr>
                      <w:rStyle w:val="35"/>
                      <w:rFonts w:hint="eastAsia" w:ascii="仿宋" w:hAnsi="仿宋" w:eastAsia="仿宋" w:cs="仿宋"/>
                      <w:sz w:val="30"/>
                      <w:szCs w:val="30"/>
                      <w:lang w:val="en-US" w:eastAsia="zh-CN" w:bidi="ar"/>
                    </w:rPr>
                    <w:t>）</w:t>
                  </w:r>
                </w:p>
              </w:tc>
              <w:tc>
                <w:tcPr>
                  <w:tcW w:w="6619" w:type="dxa"/>
                  <w:tcBorders>
                    <w:top w:val="single" w:color="000000" w:sz="2" w:space="0"/>
                    <w:left w:val="single" w:color="000000" w:sz="2" w:space="0"/>
                    <w:bottom w:val="single" w:color="000000" w:sz="2" w:space="0"/>
                    <w:right w:val="single" w:color="000000" w:sz="2" w:space="0"/>
                  </w:tcBorders>
                  <w:shd w:val="clear" w:color="auto" w:fill="auto"/>
                </w:tcPr>
                <w:p w14:paraId="301C6629">
                  <w:pPr>
                    <w:rPr>
                      <w:rFonts w:hint="eastAsia" w:ascii="仿宋" w:hAnsi="仿宋" w:eastAsia="仿宋" w:cs="仿宋"/>
                      <w:sz w:val="30"/>
                      <w:szCs w:val="30"/>
                    </w:rPr>
                  </w:pPr>
                  <w:r>
                    <w:rPr>
                      <w:rFonts w:hint="eastAsia" w:ascii="仿宋" w:hAnsi="仿宋" w:eastAsia="仿宋" w:cs="仿宋"/>
                      <w:sz w:val="30"/>
                      <w:szCs w:val="30"/>
                    </w:rPr>
                    <w:t>一般2次/年</w:t>
                  </w:r>
                </w:p>
              </w:tc>
            </w:tr>
            <w:tr w14:paraId="3EB3B2EB">
              <w:tblPrEx>
                <w:tblCellMar>
                  <w:top w:w="12" w:type="dxa"/>
                  <w:left w:w="71" w:type="dxa"/>
                  <w:bottom w:w="0" w:type="dxa"/>
                  <w:right w:w="90" w:type="dxa"/>
                </w:tblCellMar>
              </w:tblPrEx>
              <w:trPr>
                <w:trHeight w:val="527" w:hRule="atLeast"/>
              </w:trPr>
              <w:tc>
                <w:tcPr>
                  <w:tcW w:w="476" w:type="dxa"/>
                  <w:tcBorders>
                    <w:top w:val="single" w:color="000000" w:sz="2" w:space="0"/>
                    <w:left w:val="single" w:color="000000" w:sz="2" w:space="0"/>
                    <w:bottom w:val="single" w:color="000000" w:sz="2" w:space="0"/>
                    <w:right w:val="single" w:color="000000" w:sz="2" w:space="0"/>
                  </w:tcBorders>
                  <w:shd w:val="clear" w:color="auto" w:fill="auto"/>
                </w:tcPr>
                <w:p w14:paraId="640C0DBC">
                  <w:pPr>
                    <w:pStyle w:val="29"/>
                    <w:widowControl/>
                    <w:numPr>
                      <w:ilvl w:val="0"/>
                      <w:numId w:val="1"/>
                    </w:numPr>
                    <w:spacing w:line="256" w:lineRule="auto"/>
                    <w:jc w:val="left"/>
                    <w:rPr>
                      <w:rFonts w:hint="eastAsia" w:ascii="仿宋" w:hAnsi="仿宋" w:eastAsia="仿宋" w:cs="仿宋"/>
                      <w:sz w:val="30"/>
                      <w:szCs w:val="30"/>
                    </w:rPr>
                  </w:pPr>
                </w:p>
              </w:tc>
              <w:tc>
                <w:tcPr>
                  <w:tcW w:w="5311" w:type="dxa"/>
                  <w:tcBorders>
                    <w:top w:val="single" w:color="000000" w:sz="2" w:space="0"/>
                    <w:left w:val="single" w:color="000000" w:sz="2" w:space="0"/>
                    <w:bottom w:val="single" w:color="000000" w:sz="2" w:space="0"/>
                    <w:right w:val="single" w:color="000000" w:sz="2" w:space="0"/>
                  </w:tcBorders>
                  <w:shd w:val="clear" w:color="auto" w:fill="auto"/>
                  <w:vAlign w:val="center"/>
                </w:tcPr>
                <w:p w14:paraId="0CA5A0DE">
                  <w:pPr>
                    <w:keepNext w:val="0"/>
                    <w:keepLines w:val="0"/>
                    <w:widowControl/>
                    <w:suppressLineNumbers w:val="0"/>
                    <w:jc w:val="left"/>
                    <w:textAlignment w:val="center"/>
                    <w:rPr>
                      <w:rFonts w:hint="eastAsia" w:ascii="仿宋" w:hAnsi="仿宋" w:eastAsia="仿宋" w:cs="仿宋"/>
                      <w:sz w:val="30"/>
                      <w:szCs w:val="30"/>
                    </w:rPr>
                  </w:pPr>
                  <w:r>
                    <w:rPr>
                      <w:rStyle w:val="35"/>
                      <w:rFonts w:hint="eastAsia" w:ascii="仿宋" w:hAnsi="仿宋" w:eastAsia="仿宋" w:cs="仿宋"/>
                      <w:sz w:val="30"/>
                      <w:szCs w:val="30"/>
                      <w:lang w:val="en-US" w:eastAsia="zh-CN" w:bidi="ar"/>
                    </w:rPr>
                    <w:t>禁止露天焚烧秸秆的行政检查   南阳市大气污染防治条例</w:t>
                  </w:r>
                </w:p>
              </w:tc>
              <w:tc>
                <w:tcPr>
                  <w:tcW w:w="6619" w:type="dxa"/>
                  <w:tcBorders>
                    <w:top w:val="single" w:color="000000" w:sz="2" w:space="0"/>
                    <w:left w:val="single" w:color="000000" w:sz="2" w:space="0"/>
                    <w:bottom w:val="single" w:color="000000" w:sz="2" w:space="0"/>
                    <w:right w:val="single" w:color="000000" w:sz="2" w:space="0"/>
                  </w:tcBorders>
                  <w:shd w:val="clear" w:color="auto" w:fill="auto"/>
                </w:tcPr>
                <w:p w14:paraId="25AC2DA4">
                  <w:pPr>
                    <w:rPr>
                      <w:rFonts w:hint="eastAsia" w:ascii="仿宋" w:hAnsi="仿宋" w:eastAsia="仿宋" w:cs="仿宋"/>
                      <w:sz w:val="30"/>
                      <w:szCs w:val="30"/>
                    </w:rPr>
                  </w:pPr>
                  <w:r>
                    <w:rPr>
                      <w:rFonts w:hint="eastAsia" w:ascii="仿宋" w:hAnsi="仿宋" w:eastAsia="仿宋" w:cs="仿宋"/>
                      <w:sz w:val="30"/>
                      <w:szCs w:val="30"/>
                    </w:rPr>
                    <w:t>一般2次/年</w:t>
                  </w:r>
                </w:p>
              </w:tc>
            </w:tr>
            <w:tr w14:paraId="36592704">
              <w:tblPrEx>
                <w:tblCellMar>
                  <w:top w:w="12" w:type="dxa"/>
                  <w:left w:w="71" w:type="dxa"/>
                  <w:bottom w:w="0" w:type="dxa"/>
                  <w:right w:w="90" w:type="dxa"/>
                </w:tblCellMar>
              </w:tblPrEx>
              <w:trPr>
                <w:trHeight w:val="527" w:hRule="atLeast"/>
              </w:trPr>
              <w:tc>
                <w:tcPr>
                  <w:tcW w:w="476" w:type="dxa"/>
                  <w:tcBorders>
                    <w:top w:val="single" w:color="000000" w:sz="2" w:space="0"/>
                    <w:left w:val="single" w:color="000000" w:sz="2" w:space="0"/>
                    <w:bottom w:val="single" w:color="000000" w:sz="2" w:space="0"/>
                    <w:right w:val="single" w:color="000000" w:sz="2" w:space="0"/>
                  </w:tcBorders>
                  <w:shd w:val="clear" w:color="auto" w:fill="auto"/>
                </w:tcPr>
                <w:p w14:paraId="7CF296FE">
                  <w:pPr>
                    <w:pStyle w:val="29"/>
                    <w:widowControl/>
                    <w:numPr>
                      <w:ilvl w:val="0"/>
                      <w:numId w:val="1"/>
                    </w:numPr>
                    <w:spacing w:line="256" w:lineRule="auto"/>
                    <w:jc w:val="left"/>
                    <w:rPr>
                      <w:rFonts w:hint="eastAsia" w:ascii="仿宋" w:hAnsi="仿宋" w:eastAsia="仿宋" w:cs="仿宋"/>
                      <w:sz w:val="30"/>
                      <w:szCs w:val="30"/>
                    </w:rPr>
                  </w:pPr>
                </w:p>
              </w:tc>
              <w:tc>
                <w:tcPr>
                  <w:tcW w:w="5311" w:type="dxa"/>
                  <w:tcBorders>
                    <w:top w:val="single" w:color="000000" w:sz="2" w:space="0"/>
                    <w:left w:val="single" w:color="000000" w:sz="2" w:space="0"/>
                    <w:bottom w:val="single" w:color="000000" w:sz="2" w:space="0"/>
                    <w:right w:val="single" w:color="000000" w:sz="2" w:space="0"/>
                  </w:tcBorders>
                  <w:shd w:val="clear" w:color="auto" w:fill="auto"/>
                  <w:vAlign w:val="center"/>
                </w:tcPr>
                <w:p w14:paraId="2C05473E">
                  <w:pPr>
                    <w:keepNext w:val="0"/>
                    <w:keepLines w:val="0"/>
                    <w:widowControl/>
                    <w:suppressLineNumbers w:val="0"/>
                    <w:jc w:val="left"/>
                    <w:textAlignment w:val="center"/>
                    <w:rPr>
                      <w:rFonts w:hint="eastAsia" w:ascii="仿宋" w:hAnsi="仿宋" w:eastAsia="仿宋" w:cs="仿宋"/>
                      <w:sz w:val="30"/>
                      <w:szCs w:val="30"/>
                    </w:rPr>
                  </w:pPr>
                  <w:r>
                    <w:rPr>
                      <w:rStyle w:val="35"/>
                      <w:rFonts w:hint="eastAsia" w:ascii="仿宋" w:hAnsi="仿宋" w:eastAsia="仿宋" w:cs="仿宋"/>
                      <w:sz w:val="30"/>
                      <w:szCs w:val="30"/>
                      <w:lang w:val="en-US" w:eastAsia="zh-CN" w:bidi="ar"/>
                    </w:rPr>
                    <w:t>对农业植物检疫的行政检查（</w:t>
                  </w:r>
                  <w:r>
                    <w:rPr>
                      <w:rStyle w:val="36"/>
                      <w:rFonts w:hint="eastAsia" w:ascii="仿宋" w:hAnsi="仿宋" w:eastAsia="仿宋" w:cs="仿宋"/>
                      <w:sz w:val="30"/>
                      <w:szCs w:val="30"/>
                      <w:lang w:val="en-US" w:eastAsia="zh-CN" w:bidi="ar"/>
                    </w:rPr>
                    <w:t>1</w:t>
                  </w:r>
                  <w:r>
                    <w:rPr>
                      <w:rStyle w:val="35"/>
                      <w:rFonts w:hint="eastAsia" w:ascii="仿宋" w:hAnsi="仿宋" w:eastAsia="仿宋" w:cs="仿宋"/>
                      <w:sz w:val="30"/>
                      <w:szCs w:val="30"/>
                      <w:lang w:val="en-US" w:eastAsia="zh-CN" w:bidi="ar"/>
                    </w:rPr>
                    <w:t>）</w:t>
                  </w:r>
                </w:p>
              </w:tc>
              <w:tc>
                <w:tcPr>
                  <w:tcW w:w="6619" w:type="dxa"/>
                  <w:tcBorders>
                    <w:top w:val="single" w:color="000000" w:sz="2" w:space="0"/>
                    <w:left w:val="single" w:color="000000" w:sz="2" w:space="0"/>
                    <w:bottom w:val="single" w:color="000000" w:sz="2" w:space="0"/>
                    <w:right w:val="single" w:color="000000" w:sz="2" w:space="0"/>
                  </w:tcBorders>
                  <w:shd w:val="clear" w:color="auto" w:fill="auto"/>
                </w:tcPr>
                <w:p w14:paraId="0C5C377D">
                  <w:pPr>
                    <w:rPr>
                      <w:rFonts w:hint="eastAsia" w:ascii="仿宋" w:hAnsi="仿宋" w:eastAsia="仿宋" w:cs="仿宋"/>
                      <w:sz w:val="30"/>
                      <w:szCs w:val="30"/>
                    </w:rPr>
                  </w:pPr>
                  <w:r>
                    <w:rPr>
                      <w:rFonts w:hint="eastAsia" w:ascii="仿宋" w:hAnsi="仿宋" w:eastAsia="仿宋" w:cs="仿宋"/>
                      <w:sz w:val="30"/>
                      <w:szCs w:val="30"/>
                    </w:rPr>
                    <w:t>一般2次/年</w:t>
                  </w:r>
                </w:p>
              </w:tc>
            </w:tr>
            <w:tr w14:paraId="3CDAAEA3">
              <w:tblPrEx>
                <w:tblCellMar>
                  <w:top w:w="12" w:type="dxa"/>
                  <w:left w:w="71" w:type="dxa"/>
                  <w:bottom w:w="0" w:type="dxa"/>
                  <w:right w:w="90" w:type="dxa"/>
                </w:tblCellMar>
              </w:tblPrEx>
              <w:trPr>
                <w:trHeight w:val="527" w:hRule="atLeast"/>
              </w:trPr>
              <w:tc>
                <w:tcPr>
                  <w:tcW w:w="476" w:type="dxa"/>
                  <w:tcBorders>
                    <w:top w:val="single" w:color="000000" w:sz="2" w:space="0"/>
                    <w:left w:val="single" w:color="000000" w:sz="2" w:space="0"/>
                    <w:bottom w:val="single" w:color="000000" w:sz="2" w:space="0"/>
                    <w:right w:val="single" w:color="000000" w:sz="2" w:space="0"/>
                  </w:tcBorders>
                  <w:shd w:val="clear" w:color="auto" w:fill="auto"/>
                </w:tcPr>
                <w:p w14:paraId="5026328E">
                  <w:pPr>
                    <w:pStyle w:val="29"/>
                    <w:widowControl/>
                    <w:numPr>
                      <w:ilvl w:val="0"/>
                      <w:numId w:val="1"/>
                    </w:numPr>
                    <w:spacing w:line="256" w:lineRule="auto"/>
                    <w:jc w:val="left"/>
                    <w:rPr>
                      <w:rFonts w:hint="eastAsia" w:ascii="仿宋" w:hAnsi="仿宋" w:eastAsia="仿宋" w:cs="仿宋"/>
                      <w:sz w:val="30"/>
                      <w:szCs w:val="30"/>
                    </w:rPr>
                  </w:pPr>
                </w:p>
              </w:tc>
              <w:tc>
                <w:tcPr>
                  <w:tcW w:w="5311" w:type="dxa"/>
                  <w:tcBorders>
                    <w:top w:val="single" w:color="000000" w:sz="2" w:space="0"/>
                    <w:left w:val="single" w:color="000000" w:sz="2" w:space="0"/>
                    <w:bottom w:val="single" w:color="000000" w:sz="2" w:space="0"/>
                    <w:right w:val="single" w:color="000000" w:sz="2" w:space="0"/>
                  </w:tcBorders>
                  <w:shd w:val="clear" w:color="auto" w:fill="auto"/>
                  <w:vAlign w:val="center"/>
                </w:tcPr>
                <w:p w14:paraId="28EE2DF0">
                  <w:pPr>
                    <w:keepNext w:val="0"/>
                    <w:keepLines w:val="0"/>
                    <w:widowControl/>
                    <w:suppressLineNumbers w:val="0"/>
                    <w:jc w:val="left"/>
                    <w:textAlignment w:val="center"/>
                    <w:rPr>
                      <w:rFonts w:hint="eastAsia" w:ascii="仿宋" w:hAnsi="仿宋" w:eastAsia="仿宋" w:cs="仿宋"/>
                      <w:sz w:val="30"/>
                      <w:szCs w:val="30"/>
                    </w:rPr>
                  </w:pPr>
                  <w:r>
                    <w:rPr>
                      <w:rStyle w:val="35"/>
                      <w:rFonts w:hint="eastAsia" w:ascii="仿宋" w:hAnsi="仿宋" w:eastAsia="仿宋" w:cs="仿宋"/>
                      <w:sz w:val="30"/>
                      <w:szCs w:val="30"/>
                      <w:lang w:val="en-US" w:eastAsia="zh-CN" w:bidi="ar"/>
                    </w:rPr>
                    <w:t>对县级以上人民政府畜牧兽医主管部门负责奶畜饲养以及生鲜乳生产环节、收购环节的监督管理的行政检查（</w:t>
                  </w:r>
                  <w:r>
                    <w:rPr>
                      <w:rStyle w:val="36"/>
                      <w:rFonts w:hint="eastAsia" w:ascii="仿宋" w:hAnsi="仿宋" w:eastAsia="仿宋" w:cs="仿宋"/>
                      <w:sz w:val="30"/>
                      <w:szCs w:val="30"/>
                      <w:lang w:val="en-US" w:eastAsia="zh-CN" w:bidi="ar"/>
                    </w:rPr>
                    <w:t>1</w:t>
                  </w:r>
                  <w:r>
                    <w:rPr>
                      <w:rStyle w:val="35"/>
                      <w:rFonts w:hint="eastAsia" w:ascii="仿宋" w:hAnsi="仿宋" w:eastAsia="仿宋" w:cs="仿宋"/>
                      <w:sz w:val="30"/>
                      <w:szCs w:val="30"/>
                      <w:lang w:val="en-US" w:eastAsia="zh-CN" w:bidi="ar"/>
                    </w:rPr>
                    <w:t>）</w:t>
                  </w:r>
                </w:p>
              </w:tc>
              <w:tc>
                <w:tcPr>
                  <w:tcW w:w="6619" w:type="dxa"/>
                  <w:tcBorders>
                    <w:top w:val="single" w:color="000000" w:sz="2" w:space="0"/>
                    <w:left w:val="single" w:color="000000" w:sz="2" w:space="0"/>
                    <w:bottom w:val="single" w:color="000000" w:sz="2" w:space="0"/>
                    <w:right w:val="single" w:color="000000" w:sz="2" w:space="0"/>
                  </w:tcBorders>
                  <w:shd w:val="clear" w:color="auto" w:fill="auto"/>
                </w:tcPr>
                <w:p w14:paraId="4330EB45">
                  <w:pPr>
                    <w:rPr>
                      <w:rFonts w:hint="eastAsia" w:ascii="仿宋" w:hAnsi="仿宋" w:eastAsia="仿宋" w:cs="仿宋"/>
                      <w:sz w:val="30"/>
                      <w:szCs w:val="30"/>
                    </w:rPr>
                  </w:pPr>
                  <w:r>
                    <w:rPr>
                      <w:rFonts w:hint="eastAsia" w:ascii="仿宋" w:hAnsi="仿宋" w:eastAsia="仿宋" w:cs="仿宋"/>
                      <w:sz w:val="30"/>
                      <w:szCs w:val="30"/>
                    </w:rPr>
                    <w:t>一般2次/年</w:t>
                  </w:r>
                </w:p>
              </w:tc>
            </w:tr>
            <w:tr w14:paraId="2CBEF61E">
              <w:tblPrEx>
                <w:tblCellMar>
                  <w:top w:w="12" w:type="dxa"/>
                  <w:left w:w="71" w:type="dxa"/>
                  <w:bottom w:w="0" w:type="dxa"/>
                  <w:right w:w="90" w:type="dxa"/>
                </w:tblCellMar>
              </w:tblPrEx>
              <w:trPr>
                <w:trHeight w:val="527" w:hRule="atLeast"/>
              </w:trPr>
              <w:tc>
                <w:tcPr>
                  <w:tcW w:w="476" w:type="dxa"/>
                  <w:tcBorders>
                    <w:top w:val="single" w:color="000000" w:sz="2" w:space="0"/>
                    <w:left w:val="single" w:color="000000" w:sz="2" w:space="0"/>
                    <w:bottom w:val="single" w:color="000000" w:sz="2" w:space="0"/>
                    <w:right w:val="single" w:color="000000" w:sz="2" w:space="0"/>
                  </w:tcBorders>
                  <w:shd w:val="clear" w:color="auto" w:fill="auto"/>
                </w:tcPr>
                <w:p w14:paraId="08AAF98A">
                  <w:pPr>
                    <w:pStyle w:val="29"/>
                    <w:widowControl/>
                    <w:numPr>
                      <w:ilvl w:val="0"/>
                      <w:numId w:val="1"/>
                    </w:numPr>
                    <w:spacing w:line="256" w:lineRule="auto"/>
                    <w:jc w:val="left"/>
                    <w:rPr>
                      <w:rFonts w:hint="eastAsia" w:ascii="仿宋" w:hAnsi="仿宋" w:eastAsia="仿宋" w:cs="仿宋"/>
                      <w:sz w:val="30"/>
                      <w:szCs w:val="30"/>
                    </w:rPr>
                  </w:pPr>
                </w:p>
              </w:tc>
              <w:tc>
                <w:tcPr>
                  <w:tcW w:w="5311" w:type="dxa"/>
                  <w:tcBorders>
                    <w:top w:val="single" w:color="000000" w:sz="2" w:space="0"/>
                    <w:left w:val="single" w:color="000000" w:sz="2" w:space="0"/>
                    <w:bottom w:val="single" w:color="000000" w:sz="2" w:space="0"/>
                    <w:right w:val="single" w:color="000000" w:sz="2" w:space="0"/>
                  </w:tcBorders>
                  <w:shd w:val="clear" w:color="auto" w:fill="auto"/>
                  <w:vAlign w:val="center"/>
                </w:tcPr>
                <w:p w14:paraId="6FBF4CA5">
                  <w:pPr>
                    <w:keepNext w:val="0"/>
                    <w:keepLines w:val="0"/>
                    <w:widowControl/>
                    <w:suppressLineNumbers w:val="0"/>
                    <w:jc w:val="left"/>
                    <w:textAlignment w:val="center"/>
                    <w:rPr>
                      <w:rFonts w:hint="eastAsia" w:ascii="仿宋" w:hAnsi="仿宋" w:eastAsia="仿宋" w:cs="仿宋"/>
                      <w:sz w:val="30"/>
                      <w:szCs w:val="30"/>
                    </w:rPr>
                  </w:pPr>
                  <w:r>
                    <w:rPr>
                      <w:rStyle w:val="35"/>
                      <w:rFonts w:hint="eastAsia" w:ascii="仿宋" w:hAnsi="仿宋" w:eastAsia="仿宋" w:cs="仿宋"/>
                      <w:sz w:val="30"/>
                      <w:szCs w:val="30"/>
                      <w:lang w:val="en-US" w:eastAsia="zh-CN" w:bidi="ar"/>
                    </w:rPr>
                    <w:t>对生鲜乳质量安全监督检查的行政检查（</w:t>
                  </w:r>
                  <w:r>
                    <w:rPr>
                      <w:rStyle w:val="36"/>
                      <w:rFonts w:hint="eastAsia" w:ascii="仿宋" w:hAnsi="仿宋" w:eastAsia="仿宋" w:cs="仿宋"/>
                      <w:sz w:val="30"/>
                      <w:szCs w:val="30"/>
                      <w:lang w:val="en-US" w:eastAsia="zh-CN" w:bidi="ar"/>
                    </w:rPr>
                    <w:t>1</w:t>
                  </w:r>
                  <w:r>
                    <w:rPr>
                      <w:rStyle w:val="35"/>
                      <w:rFonts w:hint="eastAsia" w:ascii="仿宋" w:hAnsi="仿宋" w:eastAsia="仿宋" w:cs="仿宋"/>
                      <w:sz w:val="30"/>
                      <w:szCs w:val="30"/>
                      <w:lang w:val="en-US" w:eastAsia="zh-CN" w:bidi="ar"/>
                    </w:rPr>
                    <w:t>）</w:t>
                  </w:r>
                </w:p>
              </w:tc>
              <w:tc>
                <w:tcPr>
                  <w:tcW w:w="6619" w:type="dxa"/>
                  <w:tcBorders>
                    <w:top w:val="single" w:color="000000" w:sz="2" w:space="0"/>
                    <w:left w:val="single" w:color="000000" w:sz="2" w:space="0"/>
                    <w:bottom w:val="single" w:color="000000" w:sz="2" w:space="0"/>
                    <w:right w:val="single" w:color="000000" w:sz="2" w:space="0"/>
                  </w:tcBorders>
                  <w:shd w:val="clear" w:color="auto" w:fill="auto"/>
                </w:tcPr>
                <w:p w14:paraId="1EBABE90">
                  <w:pPr>
                    <w:rPr>
                      <w:rFonts w:hint="eastAsia" w:ascii="仿宋" w:hAnsi="仿宋" w:eastAsia="仿宋" w:cs="仿宋"/>
                      <w:sz w:val="30"/>
                      <w:szCs w:val="30"/>
                    </w:rPr>
                  </w:pPr>
                  <w:r>
                    <w:rPr>
                      <w:rFonts w:hint="eastAsia" w:ascii="仿宋" w:hAnsi="仿宋" w:eastAsia="仿宋" w:cs="仿宋"/>
                      <w:sz w:val="30"/>
                      <w:szCs w:val="30"/>
                    </w:rPr>
                    <w:t>一般2次/年</w:t>
                  </w:r>
                </w:p>
              </w:tc>
            </w:tr>
            <w:tr w14:paraId="67332FCA">
              <w:tblPrEx>
                <w:tblCellMar>
                  <w:top w:w="12" w:type="dxa"/>
                  <w:left w:w="71" w:type="dxa"/>
                  <w:bottom w:w="0" w:type="dxa"/>
                  <w:right w:w="90" w:type="dxa"/>
                </w:tblCellMar>
              </w:tblPrEx>
              <w:trPr>
                <w:trHeight w:val="527" w:hRule="atLeast"/>
              </w:trPr>
              <w:tc>
                <w:tcPr>
                  <w:tcW w:w="476" w:type="dxa"/>
                  <w:tcBorders>
                    <w:top w:val="single" w:color="000000" w:sz="2" w:space="0"/>
                    <w:left w:val="single" w:color="000000" w:sz="2" w:space="0"/>
                    <w:bottom w:val="single" w:color="000000" w:sz="2" w:space="0"/>
                    <w:right w:val="single" w:color="000000" w:sz="2" w:space="0"/>
                  </w:tcBorders>
                  <w:shd w:val="clear" w:color="auto" w:fill="auto"/>
                </w:tcPr>
                <w:p w14:paraId="53B4B2B6">
                  <w:pPr>
                    <w:pStyle w:val="29"/>
                    <w:widowControl/>
                    <w:numPr>
                      <w:ilvl w:val="0"/>
                      <w:numId w:val="1"/>
                    </w:numPr>
                    <w:spacing w:line="256" w:lineRule="auto"/>
                    <w:jc w:val="left"/>
                    <w:rPr>
                      <w:rFonts w:hint="eastAsia" w:ascii="仿宋" w:hAnsi="仿宋" w:eastAsia="仿宋" w:cs="仿宋"/>
                      <w:sz w:val="30"/>
                      <w:szCs w:val="30"/>
                    </w:rPr>
                  </w:pPr>
                </w:p>
              </w:tc>
              <w:tc>
                <w:tcPr>
                  <w:tcW w:w="5311" w:type="dxa"/>
                  <w:tcBorders>
                    <w:top w:val="single" w:color="000000" w:sz="2" w:space="0"/>
                    <w:left w:val="single" w:color="000000" w:sz="2" w:space="0"/>
                    <w:bottom w:val="single" w:color="000000" w:sz="2" w:space="0"/>
                    <w:right w:val="single" w:color="000000" w:sz="2" w:space="0"/>
                  </w:tcBorders>
                  <w:shd w:val="clear" w:color="auto" w:fill="auto"/>
                  <w:vAlign w:val="center"/>
                </w:tcPr>
                <w:p w14:paraId="4024701F">
                  <w:pPr>
                    <w:keepNext w:val="0"/>
                    <w:keepLines w:val="0"/>
                    <w:widowControl/>
                    <w:suppressLineNumbers w:val="0"/>
                    <w:jc w:val="left"/>
                    <w:textAlignment w:val="center"/>
                    <w:rPr>
                      <w:rFonts w:hint="eastAsia" w:ascii="仿宋" w:hAnsi="仿宋" w:eastAsia="仿宋" w:cs="仿宋"/>
                      <w:sz w:val="30"/>
                      <w:szCs w:val="30"/>
                    </w:rPr>
                  </w:pPr>
                  <w:r>
                    <w:rPr>
                      <w:rStyle w:val="35"/>
                      <w:rFonts w:hint="eastAsia" w:ascii="仿宋" w:hAnsi="仿宋" w:eastAsia="仿宋" w:cs="仿宋"/>
                      <w:sz w:val="30"/>
                      <w:szCs w:val="30"/>
                      <w:lang w:val="en-US" w:eastAsia="zh-CN" w:bidi="ar"/>
                    </w:rPr>
                    <w:t>对饲料、饲料添加剂监督抽查的行政检查（</w:t>
                  </w:r>
                  <w:r>
                    <w:rPr>
                      <w:rStyle w:val="36"/>
                      <w:rFonts w:hint="eastAsia" w:ascii="仿宋" w:hAnsi="仿宋" w:eastAsia="仿宋" w:cs="仿宋"/>
                      <w:sz w:val="30"/>
                      <w:szCs w:val="30"/>
                      <w:lang w:val="en-US" w:eastAsia="zh-CN" w:bidi="ar"/>
                    </w:rPr>
                    <w:t>1</w:t>
                  </w:r>
                  <w:r>
                    <w:rPr>
                      <w:rStyle w:val="35"/>
                      <w:rFonts w:hint="eastAsia" w:ascii="仿宋" w:hAnsi="仿宋" w:eastAsia="仿宋" w:cs="仿宋"/>
                      <w:sz w:val="30"/>
                      <w:szCs w:val="30"/>
                      <w:lang w:val="en-US" w:eastAsia="zh-CN" w:bidi="ar"/>
                    </w:rPr>
                    <w:t>）</w:t>
                  </w:r>
                </w:p>
              </w:tc>
              <w:tc>
                <w:tcPr>
                  <w:tcW w:w="6619" w:type="dxa"/>
                  <w:tcBorders>
                    <w:top w:val="single" w:color="000000" w:sz="2" w:space="0"/>
                    <w:left w:val="single" w:color="000000" w:sz="2" w:space="0"/>
                    <w:bottom w:val="single" w:color="000000" w:sz="2" w:space="0"/>
                    <w:right w:val="single" w:color="000000" w:sz="2" w:space="0"/>
                  </w:tcBorders>
                  <w:shd w:val="clear" w:color="auto" w:fill="auto"/>
                </w:tcPr>
                <w:p w14:paraId="6DDF7810">
                  <w:pPr>
                    <w:rPr>
                      <w:rFonts w:hint="eastAsia" w:ascii="仿宋" w:hAnsi="仿宋" w:eastAsia="仿宋" w:cs="仿宋"/>
                      <w:sz w:val="30"/>
                      <w:szCs w:val="30"/>
                    </w:rPr>
                  </w:pPr>
                  <w:r>
                    <w:rPr>
                      <w:rFonts w:hint="eastAsia" w:ascii="仿宋" w:hAnsi="仿宋" w:eastAsia="仿宋" w:cs="仿宋"/>
                      <w:sz w:val="30"/>
                      <w:szCs w:val="30"/>
                    </w:rPr>
                    <w:t>一般2次/年</w:t>
                  </w:r>
                </w:p>
              </w:tc>
            </w:tr>
            <w:tr w14:paraId="143B2915">
              <w:tblPrEx>
                <w:tblCellMar>
                  <w:top w:w="12" w:type="dxa"/>
                  <w:left w:w="71" w:type="dxa"/>
                  <w:bottom w:w="0" w:type="dxa"/>
                  <w:right w:w="90" w:type="dxa"/>
                </w:tblCellMar>
              </w:tblPrEx>
              <w:trPr>
                <w:trHeight w:val="527" w:hRule="atLeast"/>
              </w:trPr>
              <w:tc>
                <w:tcPr>
                  <w:tcW w:w="476" w:type="dxa"/>
                  <w:tcBorders>
                    <w:top w:val="single" w:color="000000" w:sz="2" w:space="0"/>
                    <w:left w:val="single" w:color="000000" w:sz="2" w:space="0"/>
                    <w:bottom w:val="single" w:color="000000" w:sz="2" w:space="0"/>
                    <w:right w:val="single" w:color="000000" w:sz="2" w:space="0"/>
                  </w:tcBorders>
                  <w:shd w:val="clear" w:color="auto" w:fill="auto"/>
                </w:tcPr>
                <w:p w14:paraId="2EEFDE18">
                  <w:pPr>
                    <w:pStyle w:val="29"/>
                    <w:widowControl/>
                    <w:numPr>
                      <w:ilvl w:val="0"/>
                      <w:numId w:val="1"/>
                    </w:numPr>
                    <w:spacing w:line="256" w:lineRule="auto"/>
                    <w:jc w:val="left"/>
                    <w:rPr>
                      <w:rFonts w:hint="eastAsia" w:ascii="仿宋" w:hAnsi="仿宋" w:eastAsia="仿宋" w:cs="仿宋"/>
                      <w:sz w:val="30"/>
                      <w:szCs w:val="30"/>
                    </w:rPr>
                  </w:pPr>
                </w:p>
              </w:tc>
              <w:tc>
                <w:tcPr>
                  <w:tcW w:w="5311" w:type="dxa"/>
                  <w:tcBorders>
                    <w:top w:val="single" w:color="000000" w:sz="2" w:space="0"/>
                    <w:left w:val="single" w:color="000000" w:sz="2" w:space="0"/>
                    <w:bottom w:val="single" w:color="000000" w:sz="2" w:space="0"/>
                    <w:right w:val="single" w:color="000000" w:sz="2" w:space="0"/>
                  </w:tcBorders>
                  <w:shd w:val="clear" w:color="auto" w:fill="auto"/>
                  <w:vAlign w:val="center"/>
                </w:tcPr>
                <w:p w14:paraId="14B7A5E0">
                  <w:pPr>
                    <w:keepNext w:val="0"/>
                    <w:keepLines w:val="0"/>
                    <w:widowControl/>
                    <w:suppressLineNumbers w:val="0"/>
                    <w:jc w:val="left"/>
                    <w:textAlignment w:val="center"/>
                    <w:rPr>
                      <w:rFonts w:hint="eastAsia" w:ascii="仿宋" w:hAnsi="仿宋" w:eastAsia="仿宋" w:cs="仿宋"/>
                      <w:sz w:val="30"/>
                      <w:szCs w:val="30"/>
                    </w:rPr>
                  </w:pPr>
                  <w:r>
                    <w:rPr>
                      <w:rStyle w:val="35"/>
                      <w:rFonts w:hint="eastAsia" w:ascii="仿宋" w:hAnsi="仿宋" w:eastAsia="仿宋" w:cs="仿宋"/>
                      <w:sz w:val="30"/>
                      <w:szCs w:val="30"/>
                      <w:lang w:val="en-US" w:eastAsia="zh-CN" w:bidi="ar"/>
                    </w:rPr>
                    <w:t>对农业转基因生物安全监督检查的行政检查（</w:t>
                  </w:r>
                  <w:r>
                    <w:rPr>
                      <w:rStyle w:val="36"/>
                      <w:rFonts w:hint="eastAsia" w:ascii="仿宋" w:hAnsi="仿宋" w:eastAsia="仿宋" w:cs="仿宋"/>
                      <w:sz w:val="30"/>
                      <w:szCs w:val="30"/>
                      <w:lang w:val="en-US" w:eastAsia="zh-CN" w:bidi="ar"/>
                    </w:rPr>
                    <w:t>1</w:t>
                  </w:r>
                  <w:r>
                    <w:rPr>
                      <w:rStyle w:val="35"/>
                      <w:rFonts w:hint="eastAsia" w:ascii="仿宋" w:hAnsi="仿宋" w:eastAsia="仿宋" w:cs="仿宋"/>
                      <w:sz w:val="30"/>
                      <w:szCs w:val="30"/>
                      <w:lang w:val="en-US" w:eastAsia="zh-CN" w:bidi="ar"/>
                    </w:rPr>
                    <w:t>）</w:t>
                  </w:r>
                </w:p>
              </w:tc>
              <w:tc>
                <w:tcPr>
                  <w:tcW w:w="6619" w:type="dxa"/>
                  <w:tcBorders>
                    <w:top w:val="single" w:color="000000" w:sz="2" w:space="0"/>
                    <w:left w:val="single" w:color="000000" w:sz="2" w:space="0"/>
                    <w:bottom w:val="single" w:color="000000" w:sz="2" w:space="0"/>
                    <w:right w:val="single" w:color="000000" w:sz="2" w:space="0"/>
                  </w:tcBorders>
                  <w:shd w:val="clear" w:color="auto" w:fill="auto"/>
                </w:tcPr>
                <w:p w14:paraId="7A5DAC6B">
                  <w:pPr>
                    <w:rPr>
                      <w:rFonts w:hint="eastAsia" w:ascii="仿宋" w:hAnsi="仿宋" w:eastAsia="仿宋" w:cs="仿宋"/>
                      <w:sz w:val="30"/>
                      <w:szCs w:val="30"/>
                    </w:rPr>
                  </w:pPr>
                  <w:r>
                    <w:rPr>
                      <w:rFonts w:hint="eastAsia" w:ascii="仿宋" w:hAnsi="仿宋" w:eastAsia="仿宋" w:cs="仿宋"/>
                      <w:sz w:val="30"/>
                      <w:szCs w:val="30"/>
                    </w:rPr>
                    <w:t>一般2次/年</w:t>
                  </w:r>
                </w:p>
              </w:tc>
            </w:tr>
            <w:tr w14:paraId="3989E407">
              <w:tblPrEx>
                <w:tblCellMar>
                  <w:top w:w="12" w:type="dxa"/>
                  <w:left w:w="71" w:type="dxa"/>
                  <w:bottom w:w="0" w:type="dxa"/>
                  <w:right w:w="90" w:type="dxa"/>
                </w:tblCellMar>
              </w:tblPrEx>
              <w:trPr>
                <w:trHeight w:val="527" w:hRule="atLeast"/>
              </w:trPr>
              <w:tc>
                <w:tcPr>
                  <w:tcW w:w="476" w:type="dxa"/>
                  <w:tcBorders>
                    <w:top w:val="single" w:color="000000" w:sz="2" w:space="0"/>
                    <w:left w:val="single" w:color="000000" w:sz="2" w:space="0"/>
                    <w:bottom w:val="single" w:color="000000" w:sz="2" w:space="0"/>
                    <w:right w:val="single" w:color="000000" w:sz="2" w:space="0"/>
                  </w:tcBorders>
                  <w:shd w:val="clear" w:color="auto" w:fill="auto"/>
                </w:tcPr>
                <w:p w14:paraId="356C2F06">
                  <w:pPr>
                    <w:pStyle w:val="29"/>
                    <w:widowControl/>
                    <w:numPr>
                      <w:ilvl w:val="0"/>
                      <w:numId w:val="1"/>
                    </w:numPr>
                    <w:spacing w:line="256" w:lineRule="auto"/>
                    <w:jc w:val="left"/>
                    <w:rPr>
                      <w:rFonts w:hint="eastAsia" w:ascii="仿宋" w:hAnsi="仿宋" w:eastAsia="仿宋" w:cs="仿宋"/>
                      <w:sz w:val="30"/>
                      <w:szCs w:val="30"/>
                    </w:rPr>
                  </w:pPr>
                </w:p>
              </w:tc>
              <w:tc>
                <w:tcPr>
                  <w:tcW w:w="5311" w:type="dxa"/>
                  <w:tcBorders>
                    <w:top w:val="single" w:color="000000" w:sz="2" w:space="0"/>
                    <w:left w:val="single" w:color="000000" w:sz="2" w:space="0"/>
                    <w:bottom w:val="single" w:color="000000" w:sz="2" w:space="0"/>
                    <w:right w:val="single" w:color="000000" w:sz="2" w:space="0"/>
                  </w:tcBorders>
                  <w:shd w:val="clear" w:color="auto" w:fill="auto"/>
                  <w:vAlign w:val="center"/>
                </w:tcPr>
                <w:p w14:paraId="74B2CF2C">
                  <w:pPr>
                    <w:keepNext w:val="0"/>
                    <w:keepLines w:val="0"/>
                    <w:widowControl/>
                    <w:suppressLineNumbers w:val="0"/>
                    <w:jc w:val="left"/>
                    <w:textAlignment w:val="center"/>
                    <w:rPr>
                      <w:rFonts w:hint="eastAsia" w:ascii="仿宋" w:hAnsi="仿宋" w:eastAsia="仿宋" w:cs="仿宋"/>
                      <w:sz w:val="30"/>
                      <w:szCs w:val="30"/>
                    </w:rPr>
                  </w:pPr>
                  <w:r>
                    <w:rPr>
                      <w:rStyle w:val="35"/>
                      <w:rFonts w:hint="eastAsia" w:ascii="仿宋" w:hAnsi="仿宋" w:eastAsia="仿宋" w:cs="仿宋"/>
                      <w:sz w:val="30"/>
                      <w:szCs w:val="30"/>
                      <w:lang w:val="en-US" w:eastAsia="zh-CN" w:bidi="ar"/>
                    </w:rPr>
                    <w:t>对农业机械安全监督管理执法人员在农田、场院等场所进行农业机械安全监督检查的行政检查（</w:t>
                  </w:r>
                  <w:r>
                    <w:rPr>
                      <w:rStyle w:val="36"/>
                      <w:rFonts w:hint="eastAsia" w:ascii="仿宋" w:hAnsi="仿宋" w:eastAsia="仿宋" w:cs="仿宋"/>
                      <w:sz w:val="30"/>
                      <w:szCs w:val="30"/>
                      <w:lang w:val="en-US" w:eastAsia="zh-CN" w:bidi="ar"/>
                    </w:rPr>
                    <w:t>1</w:t>
                  </w:r>
                  <w:r>
                    <w:rPr>
                      <w:rStyle w:val="35"/>
                      <w:rFonts w:hint="eastAsia" w:ascii="仿宋" w:hAnsi="仿宋" w:eastAsia="仿宋" w:cs="仿宋"/>
                      <w:sz w:val="30"/>
                      <w:szCs w:val="30"/>
                      <w:lang w:val="en-US" w:eastAsia="zh-CN" w:bidi="ar"/>
                    </w:rPr>
                    <w:t>）</w:t>
                  </w:r>
                </w:p>
              </w:tc>
              <w:tc>
                <w:tcPr>
                  <w:tcW w:w="6619" w:type="dxa"/>
                  <w:tcBorders>
                    <w:top w:val="single" w:color="000000" w:sz="2" w:space="0"/>
                    <w:left w:val="single" w:color="000000" w:sz="2" w:space="0"/>
                    <w:bottom w:val="single" w:color="000000" w:sz="2" w:space="0"/>
                    <w:right w:val="single" w:color="000000" w:sz="2" w:space="0"/>
                  </w:tcBorders>
                  <w:shd w:val="clear" w:color="auto" w:fill="auto"/>
                </w:tcPr>
                <w:p w14:paraId="5EAF96E4">
                  <w:pPr>
                    <w:rPr>
                      <w:rFonts w:hint="eastAsia" w:ascii="仿宋" w:hAnsi="仿宋" w:eastAsia="仿宋" w:cs="仿宋"/>
                      <w:sz w:val="30"/>
                      <w:szCs w:val="30"/>
                    </w:rPr>
                  </w:pPr>
                  <w:r>
                    <w:rPr>
                      <w:rFonts w:hint="eastAsia" w:ascii="仿宋" w:hAnsi="仿宋" w:eastAsia="仿宋" w:cs="仿宋"/>
                      <w:sz w:val="30"/>
                      <w:szCs w:val="30"/>
                    </w:rPr>
                    <w:t>一般1次/年</w:t>
                  </w:r>
                </w:p>
              </w:tc>
            </w:tr>
            <w:tr w14:paraId="761DE9BC">
              <w:tblPrEx>
                <w:tblCellMar>
                  <w:top w:w="12" w:type="dxa"/>
                  <w:left w:w="71" w:type="dxa"/>
                  <w:bottom w:w="0" w:type="dxa"/>
                  <w:right w:w="90" w:type="dxa"/>
                </w:tblCellMar>
              </w:tblPrEx>
              <w:trPr>
                <w:trHeight w:val="527" w:hRule="atLeast"/>
              </w:trPr>
              <w:tc>
                <w:tcPr>
                  <w:tcW w:w="476" w:type="dxa"/>
                  <w:tcBorders>
                    <w:top w:val="single" w:color="000000" w:sz="2" w:space="0"/>
                    <w:left w:val="single" w:color="000000" w:sz="2" w:space="0"/>
                    <w:bottom w:val="single" w:color="000000" w:sz="2" w:space="0"/>
                    <w:right w:val="single" w:color="000000" w:sz="2" w:space="0"/>
                  </w:tcBorders>
                  <w:shd w:val="clear" w:color="auto" w:fill="auto"/>
                </w:tcPr>
                <w:p w14:paraId="6B56CEE1">
                  <w:pPr>
                    <w:pStyle w:val="29"/>
                    <w:widowControl/>
                    <w:numPr>
                      <w:ilvl w:val="0"/>
                      <w:numId w:val="1"/>
                    </w:numPr>
                    <w:spacing w:line="256" w:lineRule="auto"/>
                    <w:jc w:val="left"/>
                    <w:rPr>
                      <w:rFonts w:hint="eastAsia" w:ascii="仿宋" w:hAnsi="仿宋" w:eastAsia="仿宋" w:cs="仿宋"/>
                      <w:sz w:val="30"/>
                      <w:szCs w:val="30"/>
                    </w:rPr>
                  </w:pPr>
                </w:p>
              </w:tc>
              <w:tc>
                <w:tcPr>
                  <w:tcW w:w="5311" w:type="dxa"/>
                  <w:tcBorders>
                    <w:top w:val="single" w:color="000000" w:sz="2" w:space="0"/>
                    <w:left w:val="single" w:color="000000" w:sz="2" w:space="0"/>
                    <w:bottom w:val="single" w:color="000000" w:sz="2" w:space="0"/>
                    <w:right w:val="single" w:color="000000" w:sz="2" w:space="0"/>
                  </w:tcBorders>
                  <w:shd w:val="clear" w:color="auto" w:fill="auto"/>
                  <w:vAlign w:val="center"/>
                </w:tcPr>
                <w:p w14:paraId="3831AFDC">
                  <w:pPr>
                    <w:keepNext w:val="0"/>
                    <w:keepLines w:val="0"/>
                    <w:widowControl/>
                    <w:suppressLineNumbers w:val="0"/>
                    <w:jc w:val="left"/>
                    <w:textAlignment w:val="center"/>
                    <w:rPr>
                      <w:rFonts w:hint="eastAsia" w:ascii="仿宋" w:hAnsi="仿宋" w:eastAsia="仿宋" w:cs="仿宋"/>
                      <w:sz w:val="30"/>
                      <w:szCs w:val="30"/>
                    </w:rPr>
                  </w:pPr>
                  <w:r>
                    <w:rPr>
                      <w:rStyle w:val="35"/>
                      <w:rFonts w:hint="eastAsia" w:ascii="仿宋" w:hAnsi="仿宋" w:eastAsia="仿宋" w:cs="仿宋"/>
                      <w:sz w:val="30"/>
                      <w:szCs w:val="30"/>
                      <w:lang w:val="en-US" w:eastAsia="zh-CN" w:bidi="ar"/>
                    </w:rPr>
                    <w:t>对兽药质量监督抽查的行政检查（</w:t>
                  </w:r>
                  <w:r>
                    <w:rPr>
                      <w:rStyle w:val="36"/>
                      <w:rFonts w:hint="eastAsia" w:ascii="仿宋" w:hAnsi="仿宋" w:eastAsia="仿宋" w:cs="仿宋"/>
                      <w:sz w:val="30"/>
                      <w:szCs w:val="30"/>
                      <w:lang w:val="en-US" w:eastAsia="zh-CN" w:bidi="ar"/>
                    </w:rPr>
                    <w:t>1</w:t>
                  </w:r>
                  <w:r>
                    <w:rPr>
                      <w:rStyle w:val="35"/>
                      <w:rFonts w:hint="eastAsia" w:ascii="仿宋" w:hAnsi="仿宋" w:eastAsia="仿宋" w:cs="仿宋"/>
                      <w:sz w:val="30"/>
                      <w:szCs w:val="30"/>
                      <w:lang w:val="en-US" w:eastAsia="zh-CN" w:bidi="ar"/>
                    </w:rPr>
                    <w:t>）</w:t>
                  </w:r>
                </w:p>
              </w:tc>
              <w:tc>
                <w:tcPr>
                  <w:tcW w:w="6619" w:type="dxa"/>
                  <w:tcBorders>
                    <w:top w:val="single" w:color="000000" w:sz="2" w:space="0"/>
                    <w:left w:val="single" w:color="000000" w:sz="2" w:space="0"/>
                    <w:bottom w:val="single" w:color="000000" w:sz="2" w:space="0"/>
                    <w:right w:val="single" w:color="000000" w:sz="2" w:space="0"/>
                  </w:tcBorders>
                  <w:shd w:val="clear" w:color="auto" w:fill="auto"/>
                </w:tcPr>
                <w:p w14:paraId="1DAA1EBA">
                  <w:pPr>
                    <w:rPr>
                      <w:rFonts w:hint="eastAsia" w:ascii="仿宋" w:hAnsi="仿宋" w:eastAsia="仿宋" w:cs="仿宋"/>
                      <w:sz w:val="30"/>
                      <w:szCs w:val="30"/>
                    </w:rPr>
                  </w:pPr>
                  <w:r>
                    <w:rPr>
                      <w:rFonts w:hint="eastAsia" w:ascii="仿宋" w:hAnsi="仿宋" w:eastAsia="仿宋" w:cs="仿宋"/>
                      <w:sz w:val="30"/>
                      <w:szCs w:val="30"/>
                    </w:rPr>
                    <w:t>一般2次/年</w:t>
                  </w:r>
                </w:p>
              </w:tc>
            </w:tr>
            <w:tr w14:paraId="3AEA7825">
              <w:tblPrEx>
                <w:tblCellMar>
                  <w:top w:w="12" w:type="dxa"/>
                  <w:left w:w="71" w:type="dxa"/>
                  <w:bottom w:w="0" w:type="dxa"/>
                  <w:right w:w="90" w:type="dxa"/>
                </w:tblCellMar>
              </w:tblPrEx>
              <w:trPr>
                <w:trHeight w:val="527" w:hRule="atLeast"/>
              </w:trPr>
              <w:tc>
                <w:tcPr>
                  <w:tcW w:w="476" w:type="dxa"/>
                  <w:tcBorders>
                    <w:top w:val="single" w:color="000000" w:sz="2" w:space="0"/>
                    <w:left w:val="single" w:color="000000" w:sz="2" w:space="0"/>
                    <w:bottom w:val="single" w:color="000000" w:sz="2" w:space="0"/>
                    <w:right w:val="single" w:color="000000" w:sz="2" w:space="0"/>
                  </w:tcBorders>
                  <w:shd w:val="clear" w:color="auto" w:fill="auto"/>
                </w:tcPr>
                <w:p w14:paraId="4E3F2A6A">
                  <w:pPr>
                    <w:pStyle w:val="29"/>
                    <w:widowControl/>
                    <w:numPr>
                      <w:ilvl w:val="0"/>
                      <w:numId w:val="1"/>
                    </w:numPr>
                    <w:spacing w:line="256" w:lineRule="auto"/>
                    <w:jc w:val="left"/>
                    <w:rPr>
                      <w:rFonts w:hint="eastAsia" w:ascii="仿宋" w:hAnsi="仿宋" w:eastAsia="仿宋" w:cs="仿宋"/>
                      <w:sz w:val="30"/>
                      <w:szCs w:val="30"/>
                    </w:rPr>
                  </w:pPr>
                </w:p>
              </w:tc>
              <w:tc>
                <w:tcPr>
                  <w:tcW w:w="5311" w:type="dxa"/>
                  <w:tcBorders>
                    <w:top w:val="single" w:color="000000" w:sz="2" w:space="0"/>
                    <w:left w:val="single" w:color="000000" w:sz="2" w:space="0"/>
                    <w:bottom w:val="single" w:color="000000" w:sz="2" w:space="0"/>
                    <w:right w:val="single" w:color="000000" w:sz="2" w:space="0"/>
                  </w:tcBorders>
                  <w:shd w:val="clear" w:color="auto" w:fill="auto"/>
                  <w:vAlign w:val="center"/>
                </w:tcPr>
                <w:p w14:paraId="0B43F052">
                  <w:pPr>
                    <w:keepNext w:val="0"/>
                    <w:keepLines w:val="0"/>
                    <w:widowControl/>
                    <w:suppressLineNumbers w:val="0"/>
                    <w:jc w:val="left"/>
                    <w:textAlignment w:val="center"/>
                    <w:rPr>
                      <w:rFonts w:hint="eastAsia" w:ascii="仿宋" w:hAnsi="仿宋" w:eastAsia="仿宋" w:cs="仿宋"/>
                      <w:sz w:val="30"/>
                      <w:szCs w:val="30"/>
                    </w:rPr>
                  </w:pPr>
                  <w:r>
                    <w:rPr>
                      <w:rStyle w:val="35"/>
                      <w:rFonts w:hint="eastAsia" w:ascii="仿宋" w:hAnsi="仿宋" w:eastAsia="仿宋" w:cs="仿宋"/>
                      <w:sz w:val="30"/>
                      <w:szCs w:val="30"/>
                      <w:lang w:val="en-US" w:eastAsia="zh-CN" w:bidi="ar"/>
                    </w:rPr>
                    <w:t>对农药监督管理的行政检查（</w:t>
                  </w:r>
                  <w:r>
                    <w:rPr>
                      <w:rStyle w:val="36"/>
                      <w:rFonts w:hint="eastAsia" w:ascii="仿宋" w:hAnsi="仿宋" w:eastAsia="仿宋" w:cs="仿宋"/>
                      <w:sz w:val="30"/>
                      <w:szCs w:val="30"/>
                      <w:lang w:val="en-US" w:eastAsia="zh-CN" w:bidi="ar"/>
                    </w:rPr>
                    <w:t>1</w:t>
                  </w:r>
                  <w:r>
                    <w:rPr>
                      <w:rStyle w:val="35"/>
                      <w:rFonts w:hint="eastAsia" w:ascii="仿宋" w:hAnsi="仿宋" w:eastAsia="仿宋" w:cs="仿宋"/>
                      <w:sz w:val="30"/>
                      <w:szCs w:val="30"/>
                      <w:lang w:val="en-US" w:eastAsia="zh-CN" w:bidi="ar"/>
                    </w:rPr>
                    <w:t>）</w:t>
                  </w:r>
                </w:p>
              </w:tc>
              <w:tc>
                <w:tcPr>
                  <w:tcW w:w="6619" w:type="dxa"/>
                  <w:tcBorders>
                    <w:top w:val="single" w:color="000000" w:sz="2" w:space="0"/>
                    <w:left w:val="single" w:color="000000" w:sz="2" w:space="0"/>
                    <w:bottom w:val="single" w:color="000000" w:sz="2" w:space="0"/>
                    <w:right w:val="single" w:color="000000" w:sz="2" w:space="0"/>
                  </w:tcBorders>
                  <w:shd w:val="clear" w:color="auto" w:fill="auto"/>
                </w:tcPr>
                <w:p w14:paraId="0310F9D1">
                  <w:pPr>
                    <w:rPr>
                      <w:rFonts w:hint="eastAsia" w:ascii="仿宋" w:hAnsi="仿宋" w:eastAsia="仿宋" w:cs="仿宋"/>
                      <w:sz w:val="30"/>
                      <w:szCs w:val="30"/>
                    </w:rPr>
                  </w:pPr>
                  <w:r>
                    <w:rPr>
                      <w:rFonts w:hint="eastAsia" w:ascii="仿宋" w:hAnsi="仿宋" w:eastAsia="仿宋" w:cs="仿宋"/>
                      <w:sz w:val="30"/>
                      <w:szCs w:val="30"/>
                    </w:rPr>
                    <w:t>一般2次/年</w:t>
                  </w:r>
                </w:p>
              </w:tc>
            </w:tr>
            <w:tr w14:paraId="2390350C">
              <w:tblPrEx>
                <w:tblCellMar>
                  <w:top w:w="12" w:type="dxa"/>
                  <w:left w:w="71" w:type="dxa"/>
                  <w:bottom w:w="0" w:type="dxa"/>
                  <w:right w:w="90" w:type="dxa"/>
                </w:tblCellMar>
              </w:tblPrEx>
              <w:trPr>
                <w:trHeight w:val="527" w:hRule="atLeast"/>
              </w:trPr>
              <w:tc>
                <w:tcPr>
                  <w:tcW w:w="476" w:type="dxa"/>
                  <w:tcBorders>
                    <w:top w:val="single" w:color="000000" w:sz="2" w:space="0"/>
                    <w:left w:val="single" w:color="000000" w:sz="2" w:space="0"/>
                    <w:bottom w:val="single" w:color="000000" w:sz="2" w:space="0"/>
                    <w:right w:val="single" w:color="000000" w:sz="2" w:space="0"/>
                  </w:tcBorders>
                  <w:shd w:val="clear" w:color="auto" w:fill="auto"/>
                </w:tcPr>
                <w:p w14:paraId="543F1C59">
                  <w:pPr>
                    <w:pStyle w:val="29"/>
                    <w:widowControl/>
                    <w:numPr>
                      <w:ilvl w:val="0"/>
                      <w:numId w:val="1"/>
                    </w:numPr>
                    <w:spacing w:line="256" w:lineRule="auto"/>
                    <w:jc w:val="left"/>
                    <w:rPr>
                      <w:rFonts w:hint="eastAsia" w:ascii="仿宋" w:hAnsi="仿宋" w:eastAsia="仿宋" w:cs="仿宋"/>
                      <w:sz w:val="30"/>
                      <w:szCs w:val="30"/>
                    </w:rPr>
                  </w:pPr>
                </w:p>
              </w:tc>
              <w:tc>
                <w:tcPr>
                  <w:tcW w:w="5311" w:type="dxa"/>
                  <w:tcBorders>
                    <w:top w:val="single" w:color="000000" w:sz="2" w:space="0"/>
                    <w:left w:val="single" w:color="000000" w:sz="2" w:space="0"/>
                    <w:bottom w:val="single" w:color="000000" w:sz="2" w:space="0"/>
                    <w:right w:val="single" w:color="000000" w:sz="2" w:space="0"/>
                  </w:tcBorders>
                  <w:shd w:val="clear" w:color="auto" w:fill="auto"/>
                  <w:vAlign w:val="center"/>
                </w:tcPr>
                <w:p w14:paraId="1186280B">
                  <w:pPr>
                    <w:keepNext w:val="0"/>
                    <w:keepLines w:val="0"/>
                    <w:widowControl/>
                    <w:suppressLineNumbers w:val="0"/>
                    <w:jc w:val="left"/>
                    <w:textAlignment w:val="center"/>
                    <w:rPr>
                      <w:rFonts w:hint="eastAsia" w:ascii="仿宋" w:hAnsi="仿宋" w:eastAsia="仿宋" w:cs="仿宋"/>
                      <w:sz w:val="30"/>
                      <w:szCs w:val="30"/>
                    </w:rPr>
                  </w:pPr>
                  <w:r>
                    <w:rPr>
                      <w:rStyle w:val="35"/>
                      <w:rFonts w:hint="eastAsia" w:ascii="仿宋" w:hAnsi="仿宋" w:eastAsia="仿宋" w:cs="仿宋"/>
                      <w:sz w:val="30"/>
                      <w:szCs w:val="30"/>
                      <w:lang w:val="en-US" w:eastAsia="zh-CN" w:bidi="ar"/>
                    </w:rPr>
                    <w:t>对渔业养殖、捕捞等的行政检查（</w:t>
                  </w:r>
                  <w:r>
                    <w:rPr>
                      <w:rStyle w:val="36"/>
                      <w:rFonts w:hint="eastAsia" w:ascii="仿宋" w:hAnsi="仿宋" w:eastAsia="仿宋" w:cs="仿宋"/>
                      <w:sz w:val="30"/>
                      <w:szCs w:val="30"/>
                      <w:lang w:val="en-US" w:eastAsia="zh-CN" w:bidi="ar"/>
                    </w:rPr>
                    <w:t>1</w:t>
                  </w:r>
                  <w:r>
                    <w:rPr>
                      <w:rStyle w:val="35"/>
                      <w:rFonts w:hint="eastAsia" w:ascii="仿宋" w:hAnsi="仿宋" w:eastAsia="仿宋" w:cs="仿宋"/>
                      <w:sz w:val="30"/>
                      <w:szCs w:val="30"/>
                      <w:lang w:val="en-US" w:eastAsia="zh-CN" w:bidi="ar"/>
                    </w:rPr>
                    <w:t>）</w:t>
                  </w:r>
                </w:p>
              </w:tc>
              <w:tc>
                <w:tcPr>
                  <w:tcW w:w="6619" w:type="dxa"/>
                  <w:tcBorders>
                    <w:top w:val="single" w:color="000000" w:sz="2" w:space="0"/>
                    <w:left w:val="single" w:color="000000" w:sz="2" w:space="0"/>
                    <w:bottom w:val="single" w:color="000000" w:sz="2" w:space="0"/>
                    <w:right w:val="single" w:color="000000" w:sz="2" w:space="0"/>
                  </w:tcBorders>
                  <w:shd w:val="clear" w:color="auto" w:fill="auto"/>
                </w:tcPr>
                <w:p w14:paraId="30B43243">
                  <w:pPr>
                    <w:rPr>
                      <w:rFonts w:hint="eastAsia" w:ascii="仿宋" w:hAnsi="仿宋" w:eastAsia="仿宋" w:cs="仿宋"/>
                      <w:sz w:val="30"/>
                      <w:szCs w:val="30"/>
                    </w:rPr>
                  </w:pPr>
                  <w:r>
                    <w:rPr>
                      <w:rFonts w:hint="eastAsia" w:ascii="仿宋" w:hAnsi="仿宋" w:eastAsia="仿宋" w:cs="仿宋"/>
                      <w:sz w:val="30"/>
                      <w:szCs w:val="30"/>
                    </w:rPr>
                    <w:t>一般2次/年</w:t>
                  </w:r>
                </w:p>
              </w:tc>
            </w:tr>
            <w:tr w14:paraId="63AF8D33">
              <w:tblPrEx>
                <w:tblCellMar>
                  <w:top w:w="12" w:type="dxa"/>
                  <w:left w:w="71" w:type="dxa"/>
                  <w:bottom w:w="0" w:type="dxa"/>
                  <w:right w:w="90" w:type="dxa"/>
                </w:tblCellMar>
              </w:tblPrEx>
              <w:trPr>
                <w:trHeight w:val="527" w:hRule="atLeast"/>
              </w:trPr>
              <w:tc>
                <w:tcPr>
                  <w:tcW w:w="476" w:type="dxa"/>
                  <w:tcBorders>
                    <w:top w:val="single" w:color="000000" w:sz="2" w:space="0"/>
                    <w:left w:val="single" w:color="000000" w:sz="2" w:space="0"/>
                    <w:bottom w:val="single" w:color="000000" w:sz="2" w:space="0"/>
                    <w:right w:val="single" w:color="000000" w:sz="2" w:space="0"/>
                  </w:tcBorders>
                  <w:shd w:val="clear" w:color="auto" w:fill="auto"/>
                </w:tcPr>
                <w:p w14:paraId="4C680F7D">
                  <w:pPr>
                    <w:pStyle w:val="29"/>
                    <w:widowControl/>
                    <w:numPr>
                      <w:ilvl w:val="0"/>
                      <w:numId w:val="1"/>
                    </w:numPr>
                    <w:spacing w:line="256" w:lineRule="auto"/>
                    <w:jc w:val="left"/>
                    <w:rPr>
                      <w:rFonts w:hint="eastAsia" w:ascii="仿宋" w:hAnsi="仿宋" w:eastAsia="仿宋" w:cs="仿宋"/>
                      <w:sz w:val="30"/>
                      <w:szCs w:val="30"/>
                    </w:rPr>
                  </w:pPr>
                </w:p>
              </w:tc>
              <w:tc>
                <w:tcPr>
                  <w:tcW w:w="5311" w:type="dxa"/>
                  <w:tcBorders>
                    <w:top w:val="single" w:color="000000" w:sz="2" w:space="0"/>
                    <w:left w:val="single" w:color="000000" w:sz="2" w:space="0"/>
                    <w:bottom w:val="single" w:color="000000" w:sz="2" w:space="0"/>
                    <w:right w:val="single" w:color="000000" w:sz="2" w:space="0"/>
                  </w:tcBorders>
                  <w:shd w:val="clear" w:color="auto" w:fill="auto"/>
                  <w:vAlign w:val="center"/>
                </w:tcPr>
                <w:p w14:paraId="029D1FD5">
                  <w:pPr>
                    <w:keepNext w:val="0"/>
                    <w:keepLines w:val="0"/>
                    <w:widowControl/>
                    <w:suppressLineNumbers w:val="0"/>
                    <w:jc w:val="left"/>
                    <w:textAlignment w:val="center"/>
                    <w:rPr>
                      <w:rFonts w:hint="eastAsia" w:ascii="仿宋" w:hAnsi="仿宋" w:eastAsia="仿宋" w:cs="仿宋"/>
                      <w:sz w:val="30"/>
                      <w:szCs w:val="30"/>
                    </w:rPr>
                  </w:pPr>
                  <w:r>
                    <w:rPr>
                      <w:rStyle w:val="35"/>
                      <w:rFonts w:hint="eastAsia" w:ascii="仿宋" w:hAnsi="仿宋" w:eastAsia="仿宋" w:cs="仿宋"/>
                      <w:sz w:val="30"/>
                      <w:szCs w:val="30"/>
                      <w:lang w:val="en-US" w:eastAsia="zh-CN" w:bidi="ar"/>
                    </w:rPr>
                    <w:t>对饲养动物的单位和个人履行强制免疫义务的情况进行的行政检查（</w:t>
                  </w:r>
                  <w:r>
                    <w:rPr>
                      <w:rStyle w:val="36"/>
                      <w:rFonts w:hint="eastAsia" w:ascii="仿宋" w:hAnsi="仿宋" w:eastAsia="仿宋" w:cs="仿宋"/>
                      <w:sz w:val="30"/>
                      <w:szCs w:val="30"/>
                      <w:lang w:val="en-US" w:eastAsia="zh-CN" w:bidi="ar"/>
                    </w:rPr>
                    <w:t>1</w:t>
                  </w:r>
                  <w:r>
                    <w:rPr>
                      <w:rStyle w:val="35"/>
                      <w:rFonts w:hint="eastAsia" w:ascii="仿宋" w:hAnsi="仿宋" w:eastAsia="仿宋" w:cs="仿宋"/>
                      <w:sz w:val="30"/>
                      <w:szCs w:val="30"/>
                      <w:lang w:val="en-US" w:eastAsia="zh-CN" w:bidi="ar"/>
                    </w:rPr>
                    <w:t>）</w:t>
                  </w:r>
                </w:p>
              </w:tc>
              <w:tc>
                <w:tcPr>
                  <w:tcW w:w="6619" w:type="dxa"/>
                  <w:tcBorders>
                    <w:top w:val="single" w:color="000000" w:sz="2" w:space="0"/>
                    <w:left w:val="single" w:color="000000" w:sz="2" w:space="0"/>
                    <w:bottom w:val="single" w:color="000000" w:sz="2" w:space="0"/>
                    <w:right w:val="single" w:color="000000" w:sz="2" w:space="0"/>
                  </w:tcBorders>
                  <w:shd w:val="clear" w:color="auto" w:fill="auto"/>
                </w:tcPr>
                <w:p w14:paraId="44C51B0D">
                  <w:pPr>
                    <w:rPr>
                      <w:rFonts w:hint="eastAsia" w:ascii="仿宋" w:hAnsi="仿宋" w:eastAsia="仿宋" w:cs="仿宋"/>
                      <w:sz w:val="30"/>
                      <w:szCs w:val="30"/>
                    </w:rPr>
                  </w:pPr>
                  <w:r>
                    <w:rPr>
                      <w:rFonts w:hint="eastAsia" w:ascii="仿宋" w:hAnsi="仿宋" w:eastAsia="仿宋" w:cs="仿宋"/>
                      <w:sz w:val="30"/>
                      <w:szCs w:val="30"/>
                    </w:rPr>
                    <w:t>一般2次/年。</w:t>
                  </w:r>
                </w:p>
              </w:tc>
            </w:tr>
            <w:tr w14:paraId="638FF034">
              <w:tblPrEx>
                <w:tblCellMar>
                  <w:top w:w="12" w:type="dxa"/>
                  <w:left w:w="71" w:type="dxa"/>
                  <w:bottom w:w="0" w:type="dxa"/>
                  <w:right w:w="90" w:type="dxa"/>
                </w:tblCellMar>
              </w:tblPrEx>
              <w:trPr>
                <w:trHeight w:val="527" w:hRule="atLeast"/>
              </w:trPr>
              <w:tc>
                <w:tcPr>
                  <w:tcW w:w="476" w:type="dxa"/>
                  <w:tcBorders>
                    <w:top w:val="single" w:color="000000" w:sz="2" w:space="0"/>
                    <w:left w:val="single" w:color="000000" w:sz="2" w:space="0"/>
                    <w:bottom w:val="single" w:color="000000" w:sz="2" w:space="0"/>
                    <w:right w:val="single" w:color="000000" w:sz="2" w:space="0"/>
                  </w:tcBorders>
                  <w:shd w:val="clear" w:color="auto" w:fill="auto"/>
                </w:tcPr>
                <w:p w14:paraId="23A78FC4">
                  <w:pPr>
                    <w:pStyle w:val="29"/>
                    <w:widowControl/>
                    <w:numPr>
                      <w:ilvl w:val="0"/>
                      <w:numId w:val="1"/>
                    </w:numPr>
                    <w:spacing w:line="256" w:lineRule="auto"/>
                    <w:jc w:val="left"/>
                    <w:rPr>
                      <w:rFonts w:hint="eastAsia" w:ascii="仿宋" w:hAnsi="仿宋" w:eastAsia="仿宋" w:cs="仿宋"/>
                      <w:sz w:val="30"/>
                      <w:szCs w:val="30"/>
                    </w:rPr>
                  </w:pPr>
                </w:p>
              </w:tc>
              <w:tc>
                <w:tcPr>
                  <w:tcW w:w="5311" w:type="dxa"/>
                  <w:tcBorders>
                    <w:top w:val="single" w:color="000000" w:sz="2" w:space="0"/>
                    <w:left w:val="single" w:color="000000" w:sz="2" w:space="0"/>
                    <w:bottom w:val="single" w:color="000000" w:sz="2" w:space="0"/>
                    <w:right w:val="single" w:color="000000" w:sz="2" w:space="0"/>
                  </w:tcBorders>
                  <w:shd w:val="clear" w:color="auto" w:fill="auto"/>
                  <w:vAlign w:val="center"/>
                </w:tcPr>
                <w:p w14:paraId="7BF5ABE4">
                  <w:pPr>
                    <w:keepNext w:val="0"/>
                    <w:keepLines w:val="0"/>
                    <w:widowControl/>
                    <w:suppressLineNumbers w:val="0"/>
                    <w:jc w:val="left"/>
                    <w:textAlignment w:val="center"/>
                    <w:rPr>
                      <w:rFonts w:hint="eastAsia" w:ascii="仿宋" w:hAnsi="仿宋" w:eastAsia="仿宋" w:cs="仿宋"/>
                      <w:sz w:val="30"/>
                      <w:szCs w:val="30"/>
                    </w:rPr>
                  </w:pPr>
                  <w:r>
                    <w:rPr>
                      <w:rStyle w:val="35"/>
                      <w:rFonts w:hint="eastAsia" w:ascii="仿宋" w:hAnsi="仿宋" w:eastAsia="仿宋" w:cs="仿宋"/>
                      <w:sz w:val="30"/>
                      <w:szCs w:val="30"/>
                      <w:lang w:val="en-US" w:eastAsia="zh-CN" w:bidi="ar"/>
                    </w:rPr>
                    <w:t>对种子生产经营场所进行的行政检查（</w:t>
                  </w:r>
                  <w:r>
                    <w:rPr>
                      <w:rStyle w:val="36"/>
                      <w:rFonts w:hint="eastAsia" w:ascii="仿宋" w:hAnsi="仿宋" w:eastAsia="仿宋" w:cs="仿宋"/>
                      <w:sz w:val="30"/>
                      <w:szCs w:val="30"/>
                      <w:lang w:val="en-US" w:eastAsia="zh-CN" w:bidi="ar"/>
                    </w:rPr>
                    <w:t>1</w:t>
                  </w:r>
                  <w:r>
                    <w:rPr>
                      <w:rStyle w:val="35"/>
                      <w:rFonts w:hint="eastAsia" w:ascii="仿宋" w:hAnsi="仿宋" w:eastAsia="仿宋" w:cs="仿宋"/>
                      <w:sz w:val="30"/>
                      <w:szCs w:val="30"/>
                      <w:lang w:val="en-US" w:eastAsia="zh-CN" w:bidi="ar"/>
                    </w:rPr>
                    <w:t>）</w:t>
                  </w:r>
                </w:p>
              </w:tc>
              <w:tc>
                <w:tcPr>
                  <w:tcW w:w="6619" w:type="dxa"/>
                  <w:tcBorders>
                    <w:top w:val="single" w:color="000000" w:sz="2" w:space="0"/>
                    <w:left w:val="single" w:color="000000" w:sz="2" w:space="0"/>
                    <w:bottom w:val="single" w:color="000000" w:sz="2" w:space="0"/>
                    <w:right w:val="single" w:color="000000" w:sz="2" w:space="0"/>
                  </w:tcBorders>
                  <w:shd w:val="clear" w:color="auto" w:fill="auto"/>
                </w:tcPr>
                <w:p w14:paraId="2318858E">
                  <w:pPr>
                    <w:rPr>
                      <w:rFonts w:hint="eastAsia" w:ascii="仿宋" w:hAnsi="仿宋" w:eastAsia="仿宋" w:cs="仿宋"/>
                      <w:sz w:val="30"/>
                      <w:szCs w:val="30"/>
                    </w:rPr>
                  </w:pPr>
                  <w:r>
                    <w:rPr>
                      <w:rFonts w:hint="eastAsia" w:ascii="仿宋" w:hAnsi="仿宋" w:eastAsia="仿宋" w:cs="仿宋"/>
                      <w:sz w:val="30"/>
                      <w:szCs w:val="30"/>
                    </w:rPr>
                    <w:t>一般2次/年</w:t>
                  </w:r>
                </w:p>
              </w:tc>
            </w:tr>
            <w:tr w14:paraId="46F13433">
              <w:tblPrEx>
                <w:tblCellMar>
                  <w:top w:w="12" w:type="dxa"/>
                  <w:left w:w="71" w:type="dxa"/>
                  <w:bottom w:w="0" w:type="dxa"/>
                  <w:right w:w="90" w:type="dxa"/>
                </w:tblCellMar>
              </w:tblPrEx>
              <w:trPr>
                <w:trHeight w:val="527" w:hRule="atLeast"/>
              </w:trPr>
              <w:tc>
                <w:tcPr>
                  <w:tcW w:w="476" w:type="dxa"/>
                  <w:tcBorders>
                    <w:top w:val="single" w:color="000000" w:sz="2" w:space="0"/>
                    <w:left w:val="single" w:color="000000" w:sz="2" w:space="0"/>
                    <w:bottom w:val="single" w:color="000000" w:sz="2" w:space="0"/>
                    <w:right w:val="single" w:color="000000" w:sz="2" w:space="0"/>
                  </w:tcBorders>
                  <w:shd w:val="clear" w:color="auto" w:fill="auto"/>
                </w:tcPr>
                <w:p w14:paraId="539E6ABE">
                  <w:pPr>
                    <w:pStyle w:val="29"/>
                    <w:widowControl/>
                    <w:numPr>
                      <w:ilvl w:val="0"/>
                      <w:numId w:val="1"/>
                    </w:numPr>
                    <w:spacing w:line="256" w:lineRule="auto"/>
                    <w:jc w:val="left"/>
                    <w:rPr>
                      <w:rFonts w:hint="eastAsia" w:ascii="仿宋" w:hAnsi="仿宋" w:eastAsia="仿宋" w:cs="仿宋"/>
                      <w:sz w:val="30"/>
                      <w:szCs w:val="30"/>
                    </w:rPr>
                  </w:pPr>
                </w:p>
              </w:tc>
              <w:tc>
                <w:tcPr>
                  <w:tcW w:w="5311" w:type="dxa"/>
                  <w:tcBorders>
                    <w:top w:val="single" w:color="000000" w:sz="2" w:space="0"/>
                    <w:left w:val="single" w:color="000000" w:sz="2" w:space="0"/>
                    <w:bottom w:val="single" w:color="000000" w:sz="2" w:space="0"/>
                    <w:right w:val="single" w:color="000000" w:sz="2" w:space="0"/>
                  </w:tcBorders>
                  <w:shd w:val="clear" w:color="auto" w:fill="auto"/>
                  <w:vAlign w:val="center"/>
                </w:tcPr>
                <w:p w14:paraId="4A5079FE">
                  <w:pPr>
                    <w:keepNext w:val="0"/>
                    <w:keepLines w:val="0"/>
                    <w:widowControl/>
                    <w:suppressLineNumbers w:val="0"/>
                    <w:jc w:val="left"/>
                    <w:textAlignment w:val="center"/>
                    <w:rPr>
                      <w:rFonts w:hint="eastAsia" w:ascii="仿宋" w:hAnsi="仿宋" w:eastAsia="仿宋" w:cs="仿宋"/>
                      <w:sz w:val="30"/>
                      <w:szCs w:val="30"/>
                    </w:rPr>
                  </w:pPr>
                  <w:r>
                    <w:rPr>
                      <w:rStyle w:val="35"/>
                      <w:rFonts w:hint="eastAsia" w:ascii="仿宋" w:hAnsi="仿宋" w:eastAsia="仿宋" w:cs="仿宋"/>
                      <w:sz w:val="30"/>
                      <w:szCs w:val="30"/>
                      <w:lang w:val="en-US" w:eastAsia="zh-CN" w:bidi="ar"/>
                    </w:rPr>
                    <w:t>对农产品质量安全监督检查的行政检查（</w:t>
                  </w:r>
                  <w:r>
                    <w:rPr>
                      <w:rStyle w:val="36"/>
                      <w:rFonts w:hint="eastAsia" w:ascii="仿宋" w:hAnsi="仿宋" w:eastAsia="仿宋" w:cs="仿宋"/>
                      <w:sz w:val="30"/>
                      <w:szCs w:val="30"/>
                      <w:lang w:val="en-US" w:eastAsia="zh-CN" w:bidi="ar"/>
                    </w:rPr>
                    <w:t>1</w:t>
                  </w:r>
                  <w:r>
                    <w:rPr>
                      <w:rStyle w:val="35"/>
                      <w:rFonts w:hint="eastAsia" w:ascii="仿宋" w:hAnsi="仿宋" w:eastAsia="仿宋" w:cs="仿宋"/>
                      <w:sz w:val="30"/>
                      <w:szCs w:val="30"/>
                      <w:lang w:val="en-US" w:eastAsia="zh-CN" w:bidi="ar"/>
                    </w:rPr>
                    <w:t>）</w:t>
                  </w:r>
                </w:p>
              </w:tc>
              <w:tc>
                <w:tcPr>
                  <w:tcW w:w="6619" w:type="dxa"/>
                  <w:tcBorders>
                    <w:top w:val="single" w:color="000000" w:sz="2" w:space="0"/>
                    <w:left w:val="single" w:color="000000" w:sz="2" w:space="0"/>
                    <w:bottom w:val="single" w:color="000000" w:sz="2" w:space="0"/>
                    <w:right w:val="single" w:color="000000" w:sz="2" w:space="0"/>
                  </w:tcBorders>
                  <w:shd w:val="clear" w:color="auto" w:fill="auto"/>
                </w:tcPr>
                <w:p w14:paraId="783C397A">
                  <w:pPr>
                    <w:rPr>
                      <w:rFonts w:hint="eastAsia" w:ascii="仿宋" w:hAnsi="仿宋" w:eastAsia="仿宋" w:cs="仿宋"/>
                      <w:sz w:val="30"/>
                      <w:szCs w:val="30"/>
                    </w:rPr>
                  </w:pPr>
                  <w:r>
                    <w:rPr>
                      <w:rFonts w:hint="eastAsia" w:ascii="仿宋" w:hAnsi="仿宋" w:eastAsia="仿宋" w:cs="仿宋"/>
                      <w:sz w:val="30"/>
                      <w:szCs w:val="30"/>
                    </w:rPr>
                    <w:t>一般2次/年</w:t>
                  </w:r>
                </w:p>
              </w:tc>
            </w:tr>
            <w:tr w14:paraId="4D8543E0">
              <w:tblPrEx>
                <w:tblCellMar>
                  <w:top w:w="12" w:type="dxa"/>
                  <w:left w:w="71" w:type="dxa"/>
                  <w:bottom w:w="0" w:type="dxa"/>
                  <w:right w:w="90" w:type="dxa"/>
                </w:tblCellMar>
              </w:tblPrEx>
              <w:trPr>
                <w:trHeight w:val="527" w:hRule="atLeast"/>
              </w:trPr>
              <w:tc>
                <w:tcPr>
                  <w:tcW w:w="476" w:type="dxa"/>
                  <w:tcBorders>
                    <w:top w:val="single" w:color="000000" w:sz="2" w:space="0"/>
                    <w:left w:val="single" w:color="000000" w:sz="2" w:space="0"/>
                    <w:bottom w:val="single" w:color="000000" w:sz="2" w:space="0"/>
                    <w:right w:val="single" w:color="000000" w:sz="2" w:space="0"/>
                  </w:tcBorders>
                  <w:shd w:val="clear" w:color="auto" w:fill="auto"/>
                </w:tcPr>
                <w:p w14:paraId="4ECAB407">
                  <w:pPr>
                    <w:pStyle w:val="29"/>
                    <w:widowControl/>
                    <w:numPr>
                      <w:ilvl w:val="0"/>
                      <w:numId w:val="1"/>
                    </w:numPr>
                    <w:spacing w:line="256" w:lineRule="auto"/>
                    <w:jc w:val="left"/>
                    <w:rPr>
                      <w:rFonts w:hint="eastAsia" w:ascii="仿宋" w:hAnsi="仿宋" w:eastAsia="仿宋" w:cs="仿宋"/>
                      <w:sz w:val="30"/>
                      <w:szCs w:val="30"/>
                    </w:rPr>
                  </w:pPr>
                </w:p>
              </w:tc>
              <w:tc>
                <w:tcPr>
                  <w:tcW w:w="5311" w:type="dxa"/>
                  <w:tcBorders>
                    <w:top w:val="single" w:color="000000" w:sz="2" w:space="0"/>
                    <w:left w:val="single" w:color="000000" w:sz="2" w:space="0"/>
                    <w:bottom w:val="single" w:color="000000" w:sz="2" w:space="0"/>
                    <w:right w:val="single" w:color="000000" w:sz="2" w:space="0"/>
                  </w:tcBorders>
                  <w:shd w:val="clear" w:color="auto" w:fill="auto"/>
                  <w:vAlign w:val="center"/>
                </w:tcPr>
                <w:p w14:paraId="0BB94A2F">
                  <w:pPr>
                    <w:keepNext w:val="0"/>
                    <w:keepLines w:val="0"/>
                    <w:widowControl/>
                    <w:suppressLineNumbers w:val="0"/>
                    <w:jc w:val="left"/>
                    <w:textAlignment w:val="center"/>
                    <w:rPr>
                      <w:rFonts w:hint="eastAsia" w:ascii="仿宋" w:hAnsi="仿宋" w:eastAsia="仿宋" w:cs="仿宋"/>
                      <w:sz w:val="30"/>
                      <w:szCs w:val="30"/>
                    </w:rPr>
                  </w:pPr>
                  <w:r>
                    <w:rPr>
                      <w:rStyle w:val="35"/>
                      <w:rFonts w:hint="eastAsia" w:ascii="仿宋" w:hAnsi="仿宋" w:eastAsia="仿宋" w:cs="仿宋"/>
                      <w:sz w:val="30"/>
                      <w:szCs w:val="30"/>
                      <w:lang w:val="en-US" w:eastAsia="zh-CN" w:bidi="ar"/>
                    </w:rPr>
                    <w:t>对畜牧业的监督管理（</w:t>
                  </w:r>
                  <w:r>
                    <w:rPr>
                      <w:rStyle w:val="36"/>
                      <w:rFonts w:hint="eastAsia" w:ascii="仿宋" w:hAnsi="仿宋" w:eastAsia="仿宋" w:cs="仿宋"/>
                      <w:sz w:val="30"/>
                      <w:szCs w:val="30"/>
                      <w:lang w:val="en-US" w:eastAsia="zh-CN" w:bidi="ar"/>
                    </w:rPr>
                    <w:t>1</w:t>
                  </w:r>
                  <w:r>
                    <w:rPr>
                      <w:rStyle w:val="35"/>
                      <w:rFonts w:hint="eastAsia" w:ascii="仿宋" w:hAnsi="仿宋" w:eastAsia="仿宋" w:cs="仿宋"/>
                      <w:sz w:val="30"/>
                      <w:szCs w:val="30"/>
                      <w:lang w:val="en-US" w:eastAsia="zh-CN" w:bidi="ar"/>
                    </w:rPr>
                    <w:t>）</w:t>
                  </w:r>
                </w:p>
              </w:tc>
              <w:tc>
                <w:tcPr>
                  <w:tcW w:w="6619" w:type="dxa"/>
                  <w:tcBorders>
                    <w:top w:val="single" w:color="000000" w:sz="2" w:space="0"/>
                    <w:left w:val="single" w:color="000000" w:sz="2" w:space="0"/>
                    <w:bottom w:val="single" w:color="000000" w:sz="2" w:space="0"/>
                    <w:right w:val="single" w:color="000000" w:sz="2" w:space="0"/>
                  </w:tcBorders>
                  <w:shd w:val="clear" w:color="auto" w:fill="auto"/>
                </w:tcPr>
                <w:p w14:paraId="45B07BD4">
                  <w:pPr>
                    <w:rPr>
                      <w:rFonts w:hint="eastAsia" w:ascii="仿宋" w:hAnsi="仿宋" w:eastAsia="仿宋" w:cs="仿宋"/>
                      <w:sz w:val="30"/>
                      <w:szCs w:val="30"/>
                    </w:rPr>
                  </w:pPr>
                  <w:r>
                    <w:rPr>
                      <w:rFonts w:hint="eastAsia" w:ascii="仿宋" w:hAnsi="仿宋" w:eastAsia="仿宋" w:cs="仿宋"/>
                      <w:sz w:val="30"/>
                      <w:szCs w:val="30"/>
                    </w:rPr>
                    <w:t>一般2次/年</w:t>
                  </w:r>
                </w:p>
              </w:tc>
            </w:tr>
            <w:tr w14:paraId="638AF43C">
              <w:tblPrEx>
                <w:tblCellMar>
                  <w:top w:w="12" w:type="dxa"/>
                  <w:left w:w="71" w:type="dxa"/>
                  <w:bottom w:w="0" w:type="dxa"/>
                  <w:right w:w="90" w:type="dxa"/>
                </w:tblCellMar>
              </w:tblPrEx>
              <w:trPr>
                <w:trHeight w:val="527" w:hRule="atLeast"/>
              </w:trPr>
              <w:tc>
                <w:tcPr>
                  <w:tcW w:w="476" w:type="dxa"/>
                  <w:tcBorders>
                    <w:top w:val="single" w:color="000000" w:sz="2" w:space="0"/>
                    <w:left w:val="single" w:color="000000" w:sz="2" w:space="0"/>
                    <w:bottom w:val="single" w:color="000000" w:sz="2" w:space="0"/>
                    <w:right w:val="single" w:color="000000" w:sz="2" w:space="0"/>
                  </w:tcBorders>
                  <w:shd w:val="clear" w:color="auto" w:fill="auto"/>
                </w:tcPr>
                <w:p w14:paraId="1EFFC727">
                  <w:pPr>
                    <w:pStyle w:val="29"/>
                    <w:widowControl/>
                    <w:numPr>
                      <w:ilvl w:val="0"/>
                      <w:numId w:val="1"/>
                    </w:numPr>
                    <w:spacing w:line="256" w:lineRule="auto"/>
                    <w:jc w:val="left"/>
                    <w:rPr>
                      <w:rFonts w:hint="eastAsia" w:ascii="仿宋" w:hAnsi="仿宋" w:eastAsia="仿宋" w:cs="仿宋"/>
                      <w:sz w:val="30"/>
                      <w:szCs w:val="30"/>
                    </w:rPr>
                  </w:pPr>
                </w:p>
              </w:tc>
              <w:tc>
                <w:tcPr>
                  <w:tcW w:w="5311" w:type="dxa"/>
                  <w:tcBorders>
                    <w:top w:val="single" w:color="000000" w:sz="2" w:space="0"/>
                    <w:left w:val="single" w:color="000000" w:sz="2" w:space="0"/>
                    <w:bottom w:val="single" w:color="000000" w:sz="2" w:space="0"/>
                    <w:right w:val="single" w:color="000000" w:sz="2" w:space="0"/>
                  </w:tcBorders>
                  <w:shd w:val="clear" w:color="auto" w:fill="auto"/>
                  <w:vAlign w:val="center"/>
                </w:tcPr>
                <w:p w14:paraId="77AE4E25">
                  <w:pPr>
                    <w:keepNext w:val="0"/>
                    <w:keepLines w:val="0"/>
                    <w:widowControl/>
                    <w:suppressLineNumbers w:val="0"/>
                    <w:jc w:val="left"/>
                    <w:textAlignment w:val="center"/>
                    <w:rPr>
                      <w:rFonts w:hint="eastAsia" w:ascii="仿宋" w:hAnsi="仿宋" w:eastAsia="仿宋" w:cs="仿宋"/>
                      <w:sz w:val="30"/>
                      <w:szCs w:val="30"/>
                    </w:rPr>
                  </w:pPr>
                  <w:r>
                    <w:rPr>
                      <w:rStyle w:val="35"/>
                      <w:rFonts w:hint="eastAsia" w:ascii="仿宋" w:hAnsi="仿宋" w:eastAsia="仿宋" w:cs="仿宋"/>
                      <w:sz w:val="30"/>
                      <w:szCs w:val="30"/>
                      <w:lang w:val="en-US" w:eastAsia="zh-CN" w:bidi="ar"/>
                    </w:rPr>
                    <w:t>对畜禽饲养环境、种畜禽质量、畜禽交易与运输、畜禽屠宰以及饲料、饲料添加剂、兽药等投入品的生产、经营、使用的监督管理的行政检查（</w:t>
                  </w:r>
                  <w:r>
                    <w:rPr>
                      <w:rStyle w:val="36"/>
                      <w:rFonts w:hint="eastAsia" w:ascii="仿宋" w:hAnsi="仿宋" w:eastAsia="仿宋" w:cs="仿宋"/>
                      <w:sz w:val="30"/>
                      <w:szCs w:val="30"/>
                      <w:lang w:val="en-US" w:eastAsia="zh-CN" w:bidi="ar"/>
                    </w:rPr>
                    <w:t>1</w:t>
                  </w:r>
                  <w:r>
                    <w:rPr>
                      <w:rStyle w:val="35"/>
                      <w:rFonts w:hint="eastAsia" w:ascii="仿宋" w:hAnsi="仿宋" w:eastAsia="仿宋" w:cs="仿宋"/>
                      <w:sz w:val="30"/>
                      <w:szCs w:val="30"/>
                      <w:lang w:val="en-US" w:eastAsia="zh-CN" w:bidi="ar"/>
                    </w:rPr>
                    <w:t>）</w:t>
                  </w:r>
                </w:p>
              </w:tc>
              <w:tc>
                <w:tcPr>
                  <w:tcW w:w="6619" w:type="dxa"/>
                  <w:tcBorders>
                    <w:top w:val="single" w:color="000000" w:sz="2" w:space="0"/>
                    <w:left w:val="single" w:color="000000" w:sz="2" w:space="0"/>
                    <w:bottom w:val="single" w:color="000000" w:sz="2" w:space="0"/>
                    <w:right w:val="single" w:color="000000" w:sz="2" w:space="0"/>
                  </w:tcBorders>
                  <w:shd w:val="clear" w:color="auto" w:fill="auto"/>
                  <w:vAlign w:val="top"/>
                </w:tcPr>
                <w:p w14:paraId="1C49B846">
                  <w:pPr>
                    <w:rPr>
                      <w:rFonts w:hint="eastAsia" w:ascii="仿宋" w:hAnsi="仿宋" w:eastAsia="仿宋" w:cs="仿宋"/>
                      <w:sz w:val="30"/>
                      <w:szCs w:val="30"/>
                    </w:rPr>
                  </w:pPr>
                  <w:r>
                    <w:rPr>
                      <w:rFonts w:hint="eastAsia" w:ascii="仿宋" w:hAnsi="仿宋" w:eastAsia="仿宋" w:cs="仿宋"/>
                      <w:sz w:val="30"/>
                      <w:szCs w:val="30"/>
                    </w:rPr>
                    <w:t>一般2次/年</w:t>
                  </w:r>
                </w:p>
              </w:tc>
            </w:tr>
            <w:tr w14:paraId="1CF2FA8A">
              <w:tblPrEx>
                <w:tblCellMar>
                  <w:top w:w="12" w:type="dxa"/>
                  <w:left w:w="71" w:type="dxa"/>
                  <w:bottom w:w="0" w:type="dxa"/>
                  <w:right w:w="90" w:type="dxa"/>
                </w:tblCellMar>
              </w:tblPrEx>
              <w:trPr>
                <w:trHeight w:val="527" w:hRule="atLeast"/>
              </w:trPr>
              <w:tc>
                <w:tcPr>
                  <w:tcW w:w="476" w:type="dxa"/>
                  <w:tcBorders>
                    <w:top w:val="single" w:color="000000" w:sz="2" w:space="0"/>
                    <w:left w:val="single" w:color="000000" w:sz="2" w:space="0"/>
                    <w:bottom w:val="single" w:color="000000" w:sz="2" w:space="0"/>
                    <w:right w:val="single" w:color="000000" w:sz="2" w:space="0"/>
                  </w:tcBorders>
                  <w:shd w:val="clear" w:color="auto" w:fill="auto"/>
                </w:tcPr>
                <w:p w14:paraId="01829AB5">
                  <w:pPr>
                    <w:pStyle w:val="29"/>
                    <w:widowControl/>
                    <w:numPr>
                      <w:ilvl w:val="0"/>
                      <w:numId w:val="1"/>
                    </w:numPr>
                    <w:spacing w:line="256" w:lineRule="auto"/>
                    <w:jc w:val="left"/>
                    <w:rPr>
                      <w:rFonts w:hint="eastAsia" w:ascii="仿宋" w:hAnsi="仿宋" w:eastAsia="仿宋" w:cs="仿宋"/>
                      <w:sz w:val="30"/>
                      <w:szCs w:val="30"/>
                    </w:rPr>
                  </w:pPr>
                </w:p>
              </w:tc>
              <w:tc>
                <w:tcPr>
                  <w:tcW w:w="5311" w:type="dxa"/>
                  <w:tcBorders>
                    <w:top w:val="single" w:color="000000" w:sz="2" w:space="0"/>
                    <w:left w:val="single" w:color="000000" w:sz="2" w:space="0"/>
                    <w:bottom w:val="single" w:color="000000" w:sz="2" w:space="0"/>
                    <w:right w:val="single" w:color="000000" w:sz="2" w:space="0"/>
                  </w:tcBorders>
                  <w:shd w:val="clear" w:color="auto" w:fill="auto"/>
                  <w:vAlign w:val="center"/>
                </w:tcPr>
                <w:p w14:paraId="5D34B93F">
                  <w:pPr>
                    <w:keepNext w:val="0"/>
                    <w:keepLines w:val="0"/>
                    <w:widowControl/>
                    <w:suppressLineNumbers w:val="0"/>
                    <w:jc w:val="left"/>
                    <w:textAlignment w:val="center"/>
                    <w:rPr>
                      <w:rFonts w:hint="eastAsia" w:ascii="仿宋" w:hAnsi="仿宋" w:eastAsia="仿宋" w:cs="仿宋"/>
                      <w:sz w:val="30"/>
                      <w:szCs w:val="30"/>
                    </w:rPr>
                  </w:pPr>
                  <w:r>
                    <w:rPr>
                      <w:rStyle w:val="35"/>
                      <w:rFonts w:hint="eastAsia" w:ascii="仿宋" w:hAnsi="仿宋" w:eastAsia="仿宋" w:cs="仿宋"/>
                      <w:sz w:val="30"/>
                      <w:szCs w:val="30"/>
                      <w:lang w:val="en-US" w:eastAsia="zh-CN" w:bidi="ar"/>
                    </w:rPr>
                    <w:t>对水生野生动物及制品利用监督检查的行政检查（</w:t>
                  </w:r>
                  <w:r>
                    <w:rPr>
                      <w:rStyle w:val="36"/>
                      <w:rFonts w:hint="eastAsia" w:ascii="仿宋" w:hAnsi="仿宋" w:eastAsia="仿宋" w:cs="仿宋"/>
                      <w:sz w:val="30"/>
                      <w:szCs w:val="30"/>
                      <w:lang w:val="en-US" w:eastAsia="zh-CN" w:bidi="ar"/>
                    </w:rPr>
                    <w:t>1</w:t>
                  </w:r>
                  <w:r>
                    <w:rPr>
                      <w:rStyle w:val="35"/>
                      <w:rFonts w:hint="eastAsia" w:ascii="仿宋" w:hAnsi="仿宋" w:eastAsia="仿宋" w:cs="仿宋"/>
                      <w:sz w:val="30"/>
                      <w:szCs w:val="30"/>
                      <w:lang w:val="en-US" w:eastAsia="zh-CN" w:bidi="ar"/>
                    </w:rPr>
                    <w:t>）</w:t>
                  </w:r>
                </w:p>
              </w:tc>
              <w:tc>
                <w:tcPr>
                  <w:tcW w:w="6619" w:type="dxa"/>
                  <w:tcBorders>
                    <w:top w:val="single" w:color="000000" w:sz="2" w:space="0"/>
                    <w:left w:val="single" w:color="000000" w:sz="2" w:space="0"/>
                    <w:bottom w:val="single" w:color="000000" w:sz="2" w:space="0"/>
                    <w:right w:val="single" w:color="000000" w:sz="2" w:space="0"/>
                  </w:tcBorders>
                  <w:shd w:val="clear" w:color="auto" w:fill="auto"/>
                  <w:vAlign w:val="top"/>
                </w:tcPr>
                <w:p w14:paraId="4BE114A9">
                  <w:pPr>
                    <w:rPr>
                      <w:rFonts w:hint="eastAsia" w:ascii="仿宋" w:hAnsi="仿宋" w:eastAsia="仿宋" w:cs="仿宋"/>
                      <w:sz w:val="30"/>
                      <w:szCs w:val="30"/>
                    </w:rPr>
                  </w:pPr>
                  <w:r>
                    <w:rPr>
                      <w:rFonts w:hint="eastAsia" w:ascii="仿宋" w:hAnsi="仿宋" w:eastAsia="仿宋" w:cs="仿宋"/>
                      <w:sz w:val="30"/>
                      <w:szCs w:val="30"/>
                    </w:rPr>
                    <w:t>一般2次/年</w:t>
                  </w:r>
                </w:p>
              </w:tc>
            </w:tr>
          </w:tbl>
          <w:p w14:paraId="2EB566DF">
            <w:pPr>
              <w:rPr>
                <w:rFonts w:hint="eastAsia" w:ascii="仿宋" w:hAnsi="仿宋" w:eastAsia="仿宋" w:cs="仿宋"/>
                <w:sz w:val="30"/>
                <w:szCs w:val="30"/>
              </w:rPr>
            </w:pPr>
          </w:p>
          <w:p w14:paraId="62D5C21F">
            <w:pPr>
              <w:widowControl/>
              <w:spacing w:after="32" w:line="256" w:lineRule="auto"/>
              <w:jc w:val="center"/>
              <w:rPr>
                <w:rFonts w:hint="eastAsia" w:ascii="微软雅黑" w:hAnsi="微软雅黑" w:eastAsia="微软雅黑" w:cs="微软雅黑"/>
                <w:color w:val="000000"/>
                <w:sz w:val="26"/>
                <w:szCs w:val="24"/>
                <w:lang w:bidi="ar"/>
              </w:rPr>
            </w:pPr>
          </w:p>
        </w:tc>
      </w:tr>
    </w:tbl>
    <w:p w14:paraId="405D2761">
      <w:pPr>
        <w:widowControl/>
        <w:spacing w:after="32" w:line="256" w:lineRule="auto"/>
        <w:jc w:val="both"/>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Segoe UI">
    <w:panose1 w:val="020B0502040204020203"/>
    <w:charset w:val="00"/>
    <w:family w:val="auto"/>
    <w:pitch w:val="default"/>
    <w:sig w:usb0="E4002EFF" w:usb1="C000E47F"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00D2051"/>
    <w:multiLevelType w:val="multilevel"/>
    <w:tmpl w:val="300D2051"/>
    <w:lvl w:ilvl="0" w:tentative="0">
      <w:start w:val="1"/>
      <w:numFmt w:val="decimal"/>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0838"/>
    <w:rsid w:val="00180E2A"/>
    <w:rsid w:val="00220A6D"/>
    <w:rsid w:val="00AB1449"/>
    <w:rsid w:val="00E86B33"/>
    <w:rsid w:val="00FC0838"/>
    <w:rsid w:val="1B3A201A"/>
    <w:rsid w:val="2C0C135B"/>
    <w:rsid w:val="31EA5FF2"/>
    <w:rsid w:val="55E830F2"/>
    <w:rsid w:val="7E3561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6"/>
    <w:qFormat/>
    <w:uiPriority w:val="9"/>
    <w:pPr>
      <w:keepNext/>
      <w:keepLines/>
      <w:spacing w:before="480" w:after="80"/>
      <w:outlineLvl w:val="0"/>
    </w:pPr>
    <w:rPr>
      <w:rFonts w:asciiTheme="majorHAnsi" w:hAnsiTheme="majorHAnsi" w:eastAsiaTheme="majorEastAsia" w:cstheme="majorBidi"/>
      <w:color w:val="376092" w:themeColor="accent1" w:themeShade="BF"/>
      <w:sz w:val="48"/>
      <w:szCs w:val="48"/>
    </w:rPr>
  </w:style>
  <w:style w:type="paragraph" w:styleId="3">
    <w:name w:val="heading 2"/>
    <w:basedOn w:val="1"/>
    <w:next w:val="1"/>
    <w:link w:val="17"/>
    <w:semiHidden/>
    <w:unhideWhenUsed/>
    <w:qFormat/>
    <w:uiPriority w:val="9"/>
    <w:pPr>
      <w:keepNext/>
      <w:keepLines/>
      <w:spacing w:before="160" w:after="80"/>
      <w:outlineLvl w:val="1"/>
    </w:pPr>
    <w:rPr>
      <w:rFonts w:asciiTheme="majorHAnsi" w:hAnsiTheme="majorHAnsi" w:eastAsiaTheme="majorEastAsia" w:cstheme="majorBidi"/>
      <w:color w:val="376092" w:themeColor="accent1" w:themeShade="BF"/>
      <w:sz w:val="40"/>
      <w:szCs w:val="40"/>
    </w:rPr>
  </w:style>
  <w:style w:type="paragraph" w:styleId="4">
    <w:name w:val="heading 3"/>
    <w:basedOn w:val="1"/>
    <w:next w:val="1"/>
    <w:link w:val="18"/>
    <w:semiHidden/>
    <w:unhideWhenUsed/>
    <w:qFormat/>
    <w:uiPriority w:val="9"/>
    <w:pPr>
      <w:keepNext/>
      <w:keepLines/>
      <w:spacing w:before="160" w:after="80"/>
      <w:outlineLvl w:val="2"/>
    </w:pPr>
    <w:rPr>
      <w:rFonts w:asciiTheme="majorHAnsi" w:hAnsiTheme="majorHAnsi" w:eastAsiaTheme="majorEastAsia" w:cstheme="majorBidi"/>
      <w:color w:val="376092" w:themeColor="accent1" w:themeShade="BF"/>
      <w:sz w:val="32"/>
      <w:szCs w:val="32"/>
    </w:rPr>
  </w:style>
  <w:style w:type="paragraph" w:styleId="5">
    <w:name w:val="heading 4"/>
    <w:basedOn w:val="1"/>
    <w:next w:val="1"/>
    <w:link w:val="19"/>
    <w:semiHidden/>
    <w:unhideWhenUsed/>
    <w:qFormat/>
    <w:uiPriority w:val="9"/>
    <w:pPr>
      <w:keepNext/>
      <w:keepLines/>
      <w:spacing w:before="80" w:after="40"/>
      <w:outlineLvl w:val="3"/>
    </w:pPr>
    <w:rPr>
      <w:rFonts w:cstheme="majorBidi"/>
      <w:color w:val="376092" w:themeColor="accent1" w:themeShade="BF"/>
      <w:sz w:val="28"/>
      <w:szCs w:val="28"/>
    </w:rPr>
  </w:style>
  <w:style w:type="paragraph" w:styleId="6">
    <w:name w:val="heading 5"/>
    <w:basedOn w:val="1"/>
    <w:next w:val="1"/>
    <w:link w:val="20"/>
    <w:semiHidden/>
    <w:unhideWhenUsed/>
    <w:qFormat/>
    <w:uiPriority w:val="9"/>
    <w:pPr>
      <w:keepNext/>
      <w:keepLines/>
      <w:spacing w:before="80" w:after="40"/>
      <w:outlineLvl w:val="4"/>
    </w:pPr>
    <w:rPr>
      <w:rFonts w:cstheme="majorBidi"/>
      <w:color w:val="376092" w:themeColor="accent1" w:themeShade="BF"/>
      <w:sz w:val="24"/>
      <w:szCs w:val="24"/>
    </w:rPr>
  </w:style>
  <w:style w:type="paragraph" w:styleId="7">
    <w:name w:val="heading 6"/>
    <w:basedOn w:val="1"/>
    <w:next w:val="1"/>
    <w:link w:val="21"/>
    <w:semiHidden/>
    <w:unhideWhenUsed/>
    <w:qFormat/>
    <w:uiPriority w:val="9"/>
    <w:pPr>
      <w:keepNext/>
      <w:keepLines/>
      <w:spacing w:before="40"/>
      <w:outlineLvl w:val="5"/>
    </w:pPr>
    <w:rPr>
      <w:rFonts w:cstheme="majorBidi"/>
      <w:b/>
      <w:bCs/>
      <w:color w:val="376092" w:themeColor="accent1" w:themeShade="BF"/>
    </w:rPr>
  </w:style>
  <w:style w:type="paragraph" w:styleId="8">
    <w:name w:val="heading 7"/>
    <w:basedOn w:val="1"/>
    <w:next w:val="1"/>
    <w:link w:val="22"/>
    <w:semiHidden/>
    <w:unhideWhenUsed/>
    <w:qFormat/>
    <w:uiPriority w:val="9"/>
    <w:pPr>
      <w:keepNext/>
      <w:keepLines/>
      <w:spacing w:before="4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3"/>
    <w:semiHidden/>
    <w:unhideWhenUsed/>
    <w:qFormat/>
    <w:uiPriority w:val="9"/>
    <w:pPr>
      <w:keepNext/>
      <w:keepLines/>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24"/>
    <w:semiHidden/>
    <w:unhideWhenUsed/>
    <w:qFormat/>
    <w:uiPriority w:val="9"/>
    <w:pPr>
      <w:keepNext/>
      <w:keepLines/>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11">
    <w:name w:val="Subtitle"/>
    <w:basedOn w:val="1"/>
    <w:next w:val="1"/>
    <w:link w:val="26"/>
    <w:qFormat/>
    <w:uiPriority w:val="11"/>
    <w:pPr>
      <w:spacing w:after="16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2">
    <w:name w:val="Title"/>
    <w:basedOn w:val="1"/>
    <w:next w:val="1"/>
    <w:link w:val="25"/>
    <w:qFormat/>
    <w:uiPriority w:val="10"/>
    <w:pPr>
      <w:spacing w:after="80"/>
      <w:contextualSpacing/>
      <w:jc w:val="center"/>
    </w:pPr>
    <w:rPr>
      <w:rFonts w:asciiTheme="majorHAnsi" w:hAnsiTheme="majorHAnsi" w:eastAsiaTheme="majorEastAsia" w:cstheme="majorBidi"/>
      <w:spacing w:val="-10"/>
      <w:kern w:val="28"/>
      <w:sz w:val="56"/>
      <w:szCs w:val="56"/>
    </w:rPr>
  </w:style>
  <w:style w:type="table" w:styleId="14">
    <w:name w:val="Table Grid"/>
    <w:basedOn w:val="1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6">
    <w:name w:val="标题 1 字符"/>
    <w:basedOn w:val="15"/>
    <w:link w:val="2"/>
    <w:qFormat/>
    <w:uiPriority w:val="9"/>
    <w:rPr>
      <w:rFonts w:asciiTheme="majorHAnsi" w:hAnsiTheme="majorHAnsi" w:eastAsiaTheme="majorEastAsia" w:cstheme="majorBidi"/>
      <w:color w:val="376092" w:themeColor="accent1" w:themeShade="BF"/>
      <w:sz w:val="48"/>
      <w:szCs w:val="48"/>
    </w:rPr>
  </w:style>
  <w:style w:type="character" w:customStyle="1" w:styleId="17">
    <w:name w:val="标题 2 字符"/>
    <w:basedOn w:val="15"/>
    <w:link w:val="3"/>
    <w:semiHidden/>
    <w:qFormat/>
    <w:uiPriority w:val="9"/>
    <w:rPr>
      <w:rFonts w:asciiTheme="majorHAnsi" w:hAnsiTheme="majorHAnsi" w:eastAsiaTheme="majorEastAsia" w:cstheme="majorBidi"/>
      <w:color w:val="376092" w:themeColor="accent1" w:themeShade="BF"/>
      <w:sz w:val="40"/>
      <w:szCs w:val="40"/>
    </w:rPr>
  </w:style>
  <w:style w:type="character" w:customStyle="1" w:styleId="18">
    <w:name w:val="标题 3 字符"/>
    <w:basedOn w:val="15"/>
    <w:link w:val="4"/>
    <w:semiHidden/>
    <w:qFormat/>
    <w:uiPriority w:val="9"/>
    <w:rPr>
      <w:rFonts w:asciiTheme="majorHAnsi" w:hAnsiTheme="majorHAnsi" w:eastAsiaTheme="majorEastAsia" w:cstheme="majorBidi"/>
      <w:color w:val="376092" w:themeColor="accent1" w:themeShade="BF"/>
      <w:sz w:val="32"/>
      <w:szCs w:val="32"/>
    </w:rPr>
  </w:style>
  <w:style w:type="character" w:customStyle="1" w:styleId="19">
    <w:name w:val="标题 4 字符"/>
    <w:basedOn w:val="15"/>
    <w:link w:val="5"/>
    <w:semiHidden/>
    <w:qFormat/>
    <w:uiPriority w:val="9"/>
    <w:rPr>
      <w:rFonts w:cstheme="majorBidi"/>
      <w:color w:val="376092" w:themeColor="accent1" w:themeShade="BF"/>
      <w:sz w:val="28"/>
      <w:szCs w:val="28"/>
    </w:rPr>
  </w:style>
  <w:style w:type="character" w:customStyle="1" w:styleId="20">
    <w:name w:val="标题 5 字符"/>
    <w:basedOn w:val="15"/>
    <w:link w:val="6"/>
    <w:semiHidden/>
    <w:qFormat/>
    <w:uiPriority w:val="9"/>
    <w:rPr>
      <w:rFonts w:cstheme="majorBidi"/>
      <w:color w:val="376092" w:themeColor="accent1" w:themeShade="BF"/>
      <w:sz w:val="24"/>
      <w:szCs w:val="24"/>
    </w:rPr>
  </w:style>
  <w:style w:type="character" w:customStyle="1" w:styleId="21">
    <w:name w:val="标题 6 字符"/>
    <w:basedOn w:val="15"/>
    <w:link w:val="7"/>
    <w:semiHidden/>
    <w:qFormat/>
    <w:uiPriority w:val="9"/>
    <w:rPr>
      <w:rFonts w:cstheme="majorBidi"/>
      <w:b/>
      <w:bCs/>
      <w:color w:val="376092" w:themeColor="accent1" w:themeShade="BF"/>
    </w:rPr>
  </w:style>
  <w:style w:type="character" w:customStyle="1" w:styleId="22">
    <w:name w:val="标题 7 字符"/>
    <w:basedOn w:val="15"/>
    <w:link w:val="8"/>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3">
    <w:name w:val="标题 8 字符"/>
    <w:basedOn w:val="15"/>
    <w:link w:val="9"/>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4">
    <w:name w:val="标题 9 字符"/>
    <w:basedOn w:val="15"/>
    <w:link w:val="10"/>
    <w:semiHidden/>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5">
    <w:name w:val="标题 字符"/>
    <w:basedOn w:val="15"/>
    <w:link w:val="12"/>
    <w:uiPriority w:val="10"/>
    <w:rPr>
      <w:rFonts w:asciiTheme="majorHAnsi" w:hAnsiTheme="majorHAnsi" w:eastAsiaTheme="majorEastAsia" w:cstheme="majorBidi"/>
      <w:spacing w:val="-10"/>
      <w:kern w:val="28"/>
      <w:sz w:val="56"/>
      <w:szCs w:val="56"/>
    </w:rPr>
  </w:style>
  <w:style w:type="character" w:customStyle="1" w:styleId="26">
    <w:name w:val="副标题 字符"/>
    <w:basedOn w:val="15"/>
    <w:link w:val="11"/>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7">
    <w:name w:val="Quote"/>
    <w:basedOn w:val="1"/>
    <w:next w:val="1"/>
    <w:link w:val="28"/>
    <w:qFormat/>
    <w:uiPriority w:val="2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28">
    <w:name w:val="引用 字符"/>
    <w:basedOn w:val="15"/>
    <w:link w:val="27"/>
    <w:qFormat/>
    <w:uiPriority w:val="29"/>
    <w:rPr>
      <w:i/>
      <w:iCs/>
      <w:color w:val="404040" w:themeColor="text1" w:themeTint="BF"/>
      <w14:textFill>
        <w14:solidFill>
          <w14:schemeClr w14:val="tx1">
            <w14:lumMod w14:val="75000"/>
            <w14:lumOff w14:val="25000"/>
          </w14:schemeClr>
        </w14:solidFill>
      </w14:textFill>
    </w:rPr>
  </w:style>
  <w:style w:type="paragraph" w:styleId="29">
    <w:name w:val="List Paragraph"/>
    <w:basedOn w:val="1"/>
    <w:qFormat/>
    <w:uiPriority w:val="34"/>
    <w:pPr>
      <w:ind w:left="720"/>
      <w:contextualSpacing/>
    </w:pPr>
  </w:style>
  <w:style w:type="character" w:customStyle="1" w:styleId="30">
    <w:name w:val="Intense Emphasis"/>
    <w:basedOn w:val="15"/>
    <w:qFormat/>
    <w:uiPriority w:val="21"/>
    <w:rPr>
      <w:i/>
      <w:iCs/>
      <w:color w:val="376092" w:themeColor="accent1" w:themeShade="BF"/>
    </w:rPr>
  </w:style>
  <w:style w:type="paragraph" w:styleId="31">
    <w:name w:val="Intense Quote"/>
    <w:basedOn w:val="1"/>
    <w:next w:val="1"/>
    <w:link w:val="32"/>
    <w:qFormat/>
    <w:uiPriority w:val="30"/>
    <w:pPr>
      <w:pBdr>
        <w:top w:val="single" w:color="366091" w:themeColor="accent1" w:themeShade="BF" w:sz="4" w:space="10"/>
        <w:bottom w:val="single" w:color="366091" w:themeColor="accent1" w:themeShade="BF" w:sz="4" w:space="10"/>
      </w:pBdr>
      <w:spacing w:before="360" w:after="360"/>
      <w:ind w:left="864" w:right="864"/>
      <w:jc w:val="center"/>
    </w:pPr>
    <w:rPr>
      <w:i/>
      <w:iCs/>
      <w:color w:val="376092" w:themeColor="accent1" w:themeShade="BF"/>
    </w:rPr>
  </w:style>
  <w:style w:type="character" w:customStyle="1" w:styleId="32">
    <w:name w:val="明显引用 字符"/>
    <w:basedOn w:val="15"/>
    <w:link w:val="31"/>
    <w:uiPriority w:val="30"/>
    <w:rPr>
      <w:i/>
      <w:iCs/>
      <w:color w:val="376092" w:themeColor="accent1" w:themeShade="BF"/>
    </w:rPr>
  </w:style>
  <w:style w:type="character" w:customStyle="1" w:styleId="33">
    <w:name w:val="Intense Reference"/>
    <w:basedOn w:val="15"/>
    <w:qFormat/>
    <w:uiPriority w:val="32"/>
    <w:rPr>
      <w:b/>
      <w:bCs/>
      <w:smallCaps/>
      <w:color w:val="376092" w:themeColor="accent1" w:themeShade="BF"/>
      <w:spacing w:val="5"/>
    </w:rPr>
  </w:style>
  <w:style w:type="table" w:customStyle="1" w:styleId="34">
    <w:name w:val="TableGrid"/>
    <w:basedOn w:val="13"/>
    <w:qFormat/>
    <w:uiPriority w:val="0"/>
    <w:rPr>
      <w:rFonts w:hint="eastAsia" w:ascii="等线" w:hAnsi="等线" w:eastAsia="等线" w:cs="等线"/>
      <w:sz w:val="22"/>
      <w:szCs w:val="24"/>
    </w:rPr>
    <w:tblPr>
      <w:tblCellMar>
        <w:left w:w="0" w:type="dxa"/>
        <w:right w:w="0" w:type="dxa"/>
      </w:tblCellMar>
    </w:tblPr>
  </w:style>
  <w:style w:type="character" w:customStyle="1" w:styleId="35">
    <w:name w:val="font11"/>
    <w:basedOn w:val="15"/>
    <w:uiPriority w:val="0"/>
    <w:rPr>
      <w:rFonts w:hint="eastAsia" w:ascii="宋体" w:hAnsi="宋体" w:eastAsia="宋体" w:cs="宋体"/>
      <w:color w:val="223355"/>
      <w:sz w:val="24"/>
      <w:szCs w:val="24"/>
      <w:u w:val="none"/>
    </w:rPr>
  </w:style>
  <w:style w:type="character" w:customStyle="1" w:styleId="36">
    <w:name w:val="font21"/>
    <w:basedOn w:val="15"/>
    <w:uiPriority w:val="0"/>
    <w:rPr>
      <w:rFonts w:ascii="Segoe UI" w:hAnsi="Segoe UI" w:eastAsia="Segoe UI" w:cs="Segoe UI"/>
      <w:color w:val="223355"/>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814</Words>
  <Characters>814</Characters>
  <Lines>5</Lines>
  <Paragraphs>1</Paragraphs>
  <TotalTime>4</TotalTime>
  <ScaleCrop>false</ScaleCrop>
  <LinksUpToDate>false</LinksUpToDate>
  <CharactersWithSpaces>817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2025-07-04T02:34:00Z</dcterms:created>
  <dc:creator>x l</dc:creator>
  <cp:lastModifiedBy>护花天师</cp:lastModifiedBy>
  <dcterms:modified xsi:type="dcterms:W3CDTF">2025-07-18T02:26:01Z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eyJoZGlkIjoiZmI0OTRlNWM4YzY4M2RkNThmNWI4ZDVjN2EzNGE5OTkiLCJ1c2VySWQiOiIzMzczNjY3OTYifQ==</vt:lpwstr>
  </property>
  <property fmtid="{D5CDD505-2E9C-101B-9397-08002B2CF9AE}" pid="3" name="KSOProductBuildVer">
    <vt:lpwstr>2052-12.1.0.21915</vt:lpwstr>
  </property>
  <property fmtid="{D5CDD505-2E9C-101B-9397-08002B2CF9AE}" pid="4" name="ICV">
    <vt:lpwstr>36295661EB754C28807111707CED74AE_12</vt:lpwstr>
  </property>
</Properties>
</file>