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0" w:type="auto"/>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3"/>
      </w:tblGrid>
      <w:tr w14:paraId="7A57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4" w:type="dxa"/>
          </w:tcPr>
          <w:p w14:paraId="70DF4D9D">
            <w:pPr>
              <w:widowControl/>
              <w:spacing w:after="32" w:line="256" w:lineRule="auto"/>
              <w:ind w:left="311"/>
              <w:jc w:val="center"/>
              <w:rPr>
                <w:rFonts w:hint="eastAsia" w:ascii="仿宋" w:hAnsi="仿宋" w:eastAsia="仿宋" w:cs="Times New Roman"/>
                <w:b/>
                <w:bCs/>
                <w:sz w:val="28"/>
                <w:szCs w:val="36"/>
              </w:rPr>
            </w:pPr>
            <w:r>
              <w:rPr>
                <w:rFonts w:hint="eastAsia" w:ascii="仿宋_GB2312" w:hAnsi="微软雅黑" w:eastAsia="仿宋_GB2312" w:cs="微软雅黑"/>
                <w:b/>
                <w:bCs/>
                <w:color w:val="000000"/>
                <w:sz w:val="36"/>
                <w:szCs w:val="36"/>
                <w:lang w:val="en-US" w:eastAsia="zh-CN" w:bidi="ar"/>
              </w:rPr>
              <w:t>新野县农业农村局</w:t>
            </w:r>
            <w:r>
              <w:rPr>
                <w:rFonts w:hint="eastAsia" w:ascii="仿宋" w:hAnsi="仿宋" w:eastAsia="仿宋" w:cs="微软雅黑"/>
                <w:b/>
                <w:bCs/>
                <w:color w:val="000000"/>
                <w:sz w:val="36"/>
                <w:szCs w:val="36"/>
                <w:lang w:bidi="ar"/>
              </w:rPr>
              <w:t>涉企行政检查公示专栏</w:t>
            </w:r>
          </w:p>
          <w:p w14:paraId="60134AF8">
            <w:pPr>
              <w:widowControl/>
              <w:spacing w:line="256" w:lineRule="auto"/>
              <w:ind w:right="289"/>
              <w:jc w:val="center"/>
              <w:rPr>
                <w:rFonts w:hint="default" w:ascii="仿宋" w:hAnsi="仿宋" w:eastAsia="仿宋" w:cs="Times New Roman"/>
                <w:b/>
                <w:bCs/>
                <w:sz w:val="36"/>
                <w:szCs w:val="44"/>
                <w:lang w:val="en-US" w:eastAsia="zh-CN"/>
              </w:rPr>
            </w:pPr>
            <w:r>
              <w:rPr>
                <w:rFonts w:hint="eastAsia" w:ascii="仿宋" w:hAnsi="仿宋" w:eastAsia="仿宋" w:cs="Times New Roman"/>
                <w:b/>
                <w:bCs/>
                <w:sz w:val="36"/>
                <w:szCs w:val="44"/>
                <w:lang w:val="en-US" w:eastAsia="zh-CN"/>
              </w:rPr>
              <w:t>检查事项和依据</w:t>
            </w:r>
            <w:bookmarkStart w:id="3" w:name="_GoBack"/>
            <w:bookmarkEnd w:id="3"/>
          </w:p>
          <w:tbl>
            <w:tblPr>
              <w:tblStyle w:val="37"/>
              <w:tblW w:w="13041" w:type="dxa"/>
              <w:tblInd w:w="145" w:type="dxa"/>
              <w:tblLayout w:type="autofit"/>
              <w:tblCellMar>
                <w:top w:w="12" w:type="dxa"/>
                <w:left w:w="71" w:type="dxa"/>
                <w:bottom w:w="0" w:type="dxa"/>
                <w:right w:w="90" w:type="dxa"/>
              </w:tblCellMar>
            </w:tblPr>
            <w:tblGrid>
              <w:gridCol w:w="567"/>
              <w:gridCol w:w="5413"/>
              <w:gridCol w:w="7061"/>
            </w:tblGrid>
            <w:tr w14:paraId="37040DDE">
              <w:tblPrEx>
                <w:tblCellMar>
                  <w:top w:w="12" w:type="dxa"/>
                  <w:left w:w="71" w:type="dxa"/>
                  <w:bottom w:w="0" w:type="dxa"/>
                  <w:right w:w="90" w:type="dxa"/>
                </w:tblCellMar>
              </w:tblPrEx>
              <w:trPr>
                <w:trHeight w:val="558"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tcPr>
                <w:p w14:paraId="39ADFE69">
                  <w:pPr>
                    <w:widowControl/>
                    <w:spacing w:line="256" w:lineRule="auto"/>
                    <w:jc w:val="left"/>
                    <w:rPr>
                      <w:rFonts w:hint="eastAsia" w:ascii="仿宋" w:hAnsi="仿宋" w:eastAsia="仿宋" w:cs="Times New Roman"/>
                      <w:sz w:val="22"/>
                      <w:szCs w:val="24"/>
                    </w:rPr>
                  </w:pP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A93024">
                  <w:pPr>
                    <w:widowControl/>
                    <w:spacing w:line="256" w:lineRule="auto"/>
                    <w:ind w:firstLine="1405" w:firstLineChars="500"/>
                    <w:rPr>
                      <w:rFonts w:hint="eastAsia" w:ascii="仿宋" w:hAnsi="仿宋" w:eastAsia="仿宋" w:cs="Times New Roman"/>
                      <w:b/>
                      <w:bCs/>
                      <w:sz w:val="40"/>
                      <w:szCs w:val="44"/>
                    </w:rPr>
                  </w:pPr>
                  <w:r>
                    <w:rPr>
                      <w:rFonts w:hint="eastAsia" w:ascii="仿宋" w:hAnsi="仿宋" w:eastAsia="仿宋" w:cs="微软雅黑"/>
                      <w:b/>
                      <w:bCs/>
                      <w:color w:val="000000"/>
                      <w:sz w:val="28"/>
                      <w:szCs w:val="44"/>
                      <w:lang w:bidi="ar"/>
                    </w:rPr>
                    <w:t>行政检查事项名称</w:t>
                  </w:r>
                </w:p>
              </w:tc>
              <w:tc>
                <w:tcPr>
                  <w:tcW w:w="706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F6FDED">
                  <w:pPr>
                    <w:widowControl/>
                    <w:spacing w:line="256" w:lineRule="auto"/>
                    <w:jc w:val="center"/>
                    <w:rPr>
                      <w:rFonts w:hint="eastAsia" w:ascii="仿宋" w:hAnsi="仿宋" w:eastAsia="仿宋" w:cs="Times New Roman"/>
                      <w:b/>
                      <w:bCs/>
                      <w:sz w:val="40"/>
                      <w:szCs w:val="44"/>
                      <w:lang w:eastAsia="zh-CN"/>
                    </w:rPr>
                  </w:pPr>
                  <w:r>
                    <w:rPr>
                      <w:rFonts w:hint="eastAsia" w:ascii="仿宋" w:hAnsi="仿宋" w:eastAsia="仿宋" w:cs="微软雅黑"/>
                      <w:b/>
                      <w:bCs/>
                      <w:color w:val="000000"/>
                      <w:sz w:val="28"/>
                      <w:szCs w:val="44"/>
                      <w:lang w:bidi="ar"/>
                    </w:rPr>
                    <w:t>检查</w:t>
                  </w:r>
                  <w:r>
                    <w:rPr>
                      <w:rFonts w:hint="eastAsia" w:ascii="仿宋" w:hAnsi="仿宋" w:eastAsia="仿宋" w:cs="微软雅黑"/>
                      <w:b/>
                      <w:bCs/>
                      <w:color w:val="000000"/>
                      <w:sz w:val="28"/>
                      <w:szCs w:val="44"/>
                      <w:lang w:val="en-US" w:eastAsia="zh-CN" w:bidi="ar"/>
                    </w:rPr>
                    <w:t>依据</w:t>
                  </w:r>
                </w:p>
              </w:tc>
            </w:tr>
            <w:tr w14:paraId="4ADB4DA7">
              <w:tblPrEx>
                <w:tblCellMar>
                  <w:top w:w="12" w:type="dxa"/>
                  <w:left w:w="71" w:type="dxa"/>
                  <w:bottom w:w="0" w:type="dxa"/>
                  <w:right w:w="90" w:type="dxa"/>
                </w:tblCellMar>
              </w:tblPrEx>
              <w:trPr>
                <w:trHeight w:val="665"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1288FB">
                  <w:pPr>
                    <w:widowControl/>
                    <w:spacing w:line="256" w:lineRule="auto"/>
                    <w:rPr>
                      <w:rFonts w:hint="eastAsia" w:ascii="仿宋" w:hAnsi="仿宋" w:eastAsia="仿宋" w:cs="仿宋"/>
                      <w:sz w:val="28"/>
                      <w:szCs w:val="28"/>
                    </w:rPr>
                  </w:pPr>
                  <w:r>
                    <w:rPr>
                      <w:rFonts w:hint="eastAsia" w:ascii="仿宋" w:hAnsi="仿宋" w:eastAsia="仿宋" w:cs="仿宋"/>
                      <w:sz w:val="28"/>
                      <w:szCs w:val="28"/>
                    </w:rPr>
                    <w:t>1</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1A0950">
                  <w:pPr>
                    <w:jc w:val="center"/>
                    <w:rPr>
                      <w:rFonts w:hint="eastAsia" w:ascii="仿宋" w:hAnsi="仿宋" w:eastAsia="仿宋" w:cs="仿宋"/>
                      <w:sz w:val="28"/>
                      <w:szCs w:val="28"/>
                    </w:rPr>
                  </w:pPr>
                  <w:r>
                    <w:rPr>
                      <w:rFonts w:hint="eastAsia" w:ascii="仿宋" w:hAnsi="仿宋" w:eastAsia="仿宋" w:cs="仿宋"/>
                      <w:sz w:val="28"/>
                      <w:szCs w:val="28"/>
                    </w:rPr>
                    <w:t>畜禽养殖场所喂养饲料的行政检查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73339D71">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中华人民共和国畜牧法</w:t>
                  </w:r>
                  <w:r>
                    <w:rPr>
                      <w:rFonts w:hint="eastAsia" w:ascii="仿宋" w:hAnsi="仿宋" w:eastAsia="仿宋" w:cs="仿宋"/>
                      <w:sz w:val="28"/>
                      <w:szCs w:val="28"/>
                      <w:lang w:eastAsia="zh-CN"/>
                    </w:rPr>
                    <w:t>》</w:t>
                  </w:r>
                  <w:r>
                    <w:rPr>
                      <w:rFonts w:hint="eastAsia" w:ascii="仿宋" w:hAnsi="仿宋" w:eastAsia="仿宋" w:cs="仿宋"/>
                      <w:sz w:val="28"/>
                      <w:szCs w:val="28"/>
                    </w:rPr>
                    <w:t>第七十一条　县级以上人民政府应当组织农业农村主管部门和其他有关部门，依照本法和有关法律、行政法规的规定，加强对畜禽饲养环境、种畜禽质量、畜禽交易与运输、畜禽屠宰以及饲料、饲料添加剂、兽药等投入品的生产、经营、使用的监督管理</w:t>
                  </w:r>
                </w:p>
              </w:tc>
            </w:tr>
            <w:tr w14:paraId="49A0336A">
              <w:tblPrEx>
                <w:tblCellMar>
                  <w:top w:w="12" w:type="dxa"/>
                  <w:left w:w="71" w:type="dxa"/>
                  <w:bottom w:w="0" w:type="dxa"/>
                  <w:right w:w="90" w:type="dxa"/>
                </w:tblCellMar>
              </w:tblPrEx>
              <w:trPr>
                <w:trHeight w:val="54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1948F0">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2</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0FACCE">
                  <w:pPr>
                    <w:jc w:val="center"/>
                    <w:rPr>
                      <w:rFonts w:hint="eastAsia" w:ascii="仿宋" w:hAnsi="仿宋" w:eastAsia="仿宋" w:cs="仿宋"/>
                      <w:sz w:val="28"/>
                      <w:szCs w:val="28"/>
                    </w:rPr>
                  </w:pPr>
                  <w:r>
                    <w:rPr>
                      <w:rFonts w:hint="eastAsia" w:ascii="仿宋" w:hAnsi="仿宋" w:eastAsia="仿宋" w:cs="仿宋"/>
                      <w:sz w:val="28"/>
                      <w:szCs w:val="28"/>
                    </w:rPr>
                    <w:t>对农业机械维修及配件经营的行政检查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5F66BDBA">
                  <w:pPr>
                    <w:ind w:firstLine="560" w:firstLineChars="200"/>
                    <w:rPr>
                      <w:rFonts w:hint="eastAsia" w:ascii="仿宋" w:hAnsi="仿宋" w:eastAsia="仿宋" w:cs="仿宋"/>
                      <w:sz w:val="28"/>
                      <w:szCs w:val="28"/>
                    </w:rPr>
                  </w:pPr>
                  <w:r>
                    <w:rPr>
                      <w:rFonts w:hint="eastAsia" w:ascii="仿宋" w:hAnsi="仿宋" w:eastAsia="仿宋" w:cs="仿宋"/>
                      <w:sz w:val="28"/>
                      <w:szCs w:val="28"/>
                    </w:rPr>
                    <w:t>《农业机械安全监督管理条例》第九条　国务院农业机械化主管部门、工业主管部门、质量监督部门和工商行政管理部门等有关部门依照本条例和国务院规定的职责，负责农业机械安全监督管理工作。</w:t>
                  </w:r>
                </w:p>
              </w:tc>
            </w:tr>
            <w:tr w14:paraId="30AEF87F">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DC5A95">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3</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6A04642">
                  <w:pPr>
                    <w:jc w:val="center"/>
                    <w:rPr>
                      <w:rFonts w:hint="eastAsia" w:ascii="仿宋" w:hAnsi="仿宋" w:eastAsia="仿宋" w:cs="仿宋"/>
                      <w:sz w:val="28"/>
                      <w:szCs w:val="28"/>
                    </w:rPr>
                  </w:pPr>
                  <w:r>
                    <w:rPr>
                      <w:rFonts w:hint="eastAsia" w:ascii="仿宋" w:hAnsi="仿宋" w:eastAsia="仿宋" w:cs="仿宋"/>
                      <w:sz w:val="28"/>
                      <w:szCs w:val="28"/>
                    </w:rPr>
                    <w:t>对渔业船员及培训机构监督检查的行政检查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5D820C2E">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《中华人民共和国渔业船员管理办法》第三条 农业农村部负责全国渔业船员管理工作。县级以上地方人民政府渔业主管部门及其所属的渔政渔港监督管理机构，依照各自职责</w:t>
                  </w:r>
                  <w:r>
                    <w:rPr>
                      <w:rFonts w:hint="eastAsia" w:ascii="仿宋" w:hAnsi="仿宋" w:eastAsia="仿宋" w:cs="仿宋"/>
                      <w:sz w:val="28"/>
                      <w:szCs w:val="28"/>
                      <w:lang w:val="en-US" w:eastAsia="zh-CN"/>
                    </w:rPr>
                    <w:t>负责渔业船员管理工作。</w:t>
                  </w:r>
                </w:p>
              </w:tc>
            </w:tr>
            <w:tr w14:paraId="263DE902">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FA0F7C">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4</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DA2032">
                  <w:pPr>
                    <w:jc w:val="center"/>
                    <w:rPr>
                      <w:rFonts w:hint="eastAsia" w:ascii="仿宋" w:hAnsi="仿宋" w:eastAsia="仿宋" w:cs="仿宋"/>
                      <w:sz w:val="28"/>
                      <w:szCs w:val="28"/>
                    </w:rPr>
                  </w:pPr>
                  <w:r>
                    <w:rPr>
                      <w:rFonts w:hint="eastAsia" w:ascii="仿宋" w:hAnsi="仿宋" w:eastAsia="仿宋" w:cs="仿宋"/>
                      <w:sz w:val="28"/>
                      <w:szCs w:val="28"/>
                    </w:rPr>
                    <w:t>对肥料监督检查的行政检查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0E3390C9">
                  <w:pPr>
                    <w:ind w:firstLine="560" w:firstLineChars="200"/>
                    <w:rPr>
                      <w:rFonts w:hint="eastAsia" w:ascii="仿宋" w:hAnsi="仿宋" w:eastAsia="仿宋" w:cs="仿宋"/>
                      <w:sz w:val="28"/>
                      <w:szCs w:val="28"/>
                    </w:rPr>
                  </w:pPr>
                  <w:r>
                    <w:rPr>
                      <w:rFonts w:hint="eastAsia" w:ascii="仿宋" w:hAnsi="仿宋" w:eastAsia="仿宋" w:cs="仿宋"/>
                      <w:sz w:val="28"/>
                      <w:szCs w:val="28"/>
                    </w:rPr>
                    <w:t>《肥料登记管理办法》第六条　农业部负责全国肥料登记和监督管理工作。</w:t>
                  </w:r>
                </w:p>
                <w:p w14:paraId="6997D1D7">
                  <w:pPr>
                    <w:ind w:firstLine="560" w:firstLineChars="200"/>
                    <w:rPr>
                      <w:rFonts w:hint="eastAsia" w:ascii="仿宋" w:hAnsi="仿宋" w:eastAsia="仿宋" w:cs="仿宋"/>
                      <w:sz w:val="28"/>
                      <w:szCs w:val="28"/>
                    </w:rPr>
                  </w:pPr>
                  <w:r>
                    <w:rPr>
                      <w:rFonts w:hint="eastAsia" w:ascii="仿宋" w:hAnsi="仿宋" w:eastAsia="仿宋" w:cs="仿宋"/>
                      <w:sz w:val="28"/>
                      <w:szCs w:val="28"/>
                    </w:rPr>
                    <w:t>县级以上地方人民政府农业行政主管部门负责本行政区域内的肥料监督管理工作。</w:t>
                  </w:r>
                </w:p>
              </w:tc>
            </w:tr>
            <w:tr w14:paraId="0ABE1339">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67BECD">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5</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2B9E4D">
                  <w:pPr>
                    <w:jc w:val="center"/>
                    <w:rPr>
                      <w:rFonts w:hint="eastAsia" w:ascii="仿宋" w:hAnsi="仿宋" w:eastAsia="仿宋" w:cs="仿宋"/>
                      <w:sz w:val="28"/>
                      <w:szCs w:val="28"/>
                    </w:rPr>
                  </w:pPr>
                  <w:r>
                    <w:rPr>
                      <w:rFonts w:hint="eastAsia" w:ascii="仿宋" w:hAnsi="仿宋" w:eastAsia="仿宋" w:cs="仿宋"/>
                      <w:sz w:val="28"/>
                      <w:szCs w:val="28"/>
                    </w:rPr>
                    <w:t>对</w:t>
                  </w:r>
                  <w:bookmarkStart w:id="0" w:name="OLE_LINK4"/>
                  <w:r>
                    <w:rPr>
                      <w:rFonts w:hint="eastAsia" w:ascii="仿宋" w:hAnsi="仿宋" w:eastAsia="仿宋" w:cs="仿宋"/>
                      <w:sz w:val="28"/>
                      <w:szCs w:val="28"/>
                    </w:rPr>
                    <w:t>农业面源污染防治</w:t>
                  </w:r>
                  <w:bookmarkEnd w:id="0"/>
                  <w:r>
                    <w:rPr>
                      <w:rFonts w:hint="eastAsia" w:ascii="仿宋" w:hAnsi="仿宋" w:eastAsia="仿宋" w:cs="仿宋"/>
                      <w:sz w:val="28"/>
                      <w:szCs w:val="28"/>
                    </w:rPr>
                    <w:t>，推广科学施肥和农药安全使用技术，实施畜禽养殖禁养区和限养区制度，规范和指导畜禽养殖场、养殖小区按照规定收集、存贮、利用和处置畜禽养殖废弃物，规范畜禽养殖抗生素的使用，保护和改善水生态环境涉及农业农村部门职责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3E5D4874">
                  <w:pPr>
                    <w:ind w:firstLine="560" w:firstLineChars="200"/>
                    <w:rPr>
                      <w:rFonts w:hint="eastAsia" w:ascii="仿宋" w:hAnsi="仿宋" w:eastAsia="仿宋" w:cs="仿宋"/>
                      <w:sz w:val="28"/>
                      <w:szCs w:val="28"/>
                    </w:rPr>
                  </w:pPr>
                  <w:r>
                    <w:rPr>
                      <w:rFonts w:hint="eastAsia" w:ascii="仿宋" w:hAnsi="仿宋" w:eastAsia="仿宋" w:cs="仿宋"/>
                      <w:sz w:val="28"/>
                      <w:szCs w:val="28"/>
                    </w:rPr>
                    <w:t>《中华人民共和国环境保护法》第四十九条 第一款：各级人民政府及其农业等有关部门和机构应当指导农业生产经营者科学种植和养殖，科学合理施用农药、化肥等农业投入品，科学处置农用薄膜、农作物秸秆等农业废弃物，防止农业面源污染。</w:t>
                  </w:r>
                </w:p>
              </w:tc>
            </w:tr>
            <w:tr w14:paraId="1C0807E4">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A56FD6">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6</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F911B9E">
                  <w:pPr>
                    <w:jc w:val="center"/>
                    <w:rPr>
                      <w:rFonts w:hint="eastAsia" w:ascii="仿宋" w:hAnsi="仿宋" w:eastAsia="仿宋" w:cs="仿宋"/>
                      <w:sz w:val="28"/>
                      <w:szCs w:val="28"/>
                    </w:rPr>
                  </w:pPr>
                  <w:r>
                    <w:rPr>
                      <w:rFonts w:hint="eastAsia" w:ascii="仿宋" w:hAnsi="仿宋" w:eastAsia="仿宋" w:cs="仿宋"/>
                      <w:sz w:val="28"/>
                      <w:szCs w:val="28"/>
                    </w:rPr>
                    <w:t>对水生生物资源的保护，管理水生生物的引进和放生活动的行政检查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38E96BB4">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中华人民共和国水生野生动物保护实施条例》第三条　国务院渔业行政主管部门主管全国水生野生动物管理工作。县级以上地方人民政府渔业行政主管部门主管本行政区域内水生野生动物管理工作。</w:t>
                  </w:r>
                </w:p>
              </w:tc>
            </w:tr>
            <w:tr w14:paraId="54E1C0DF">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F63C9FD">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7</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D5D853">
                  <w:pPr>
                    <w:jc w:val="center"/>
                    <w:rPr>
                      <w:rFonts w:hint="eastAsia" w:ascii="仿宋" w:hAnsi="仿宋" w:eastAsia="仿宋" w:cs="仿宋"/>
                      <w:sz w:val="28"/>
                      <w:szCs w:val="28"/>
                    </w:rPr>
                  </w:pPr>
                  <w:r>
                    <w:rPr>
                      <w:rFonts w:hint="eastAsia" w:ascii="仿宋" w:hAnsi="仿宋" w:eastAsia="仿宋" w:cs="仿宋"/>
                      <w:sz w:val="28"/>
                      <w:szCs w:val="28"/>
                    </w:rPr>
                    <w:t>禁止露天焚烧秸秆的行政检查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22AD0BFB">
                  <w:pPr>
                    <w:ind w:firstLine="560" w:firstLineChars="200"/>
                    <w:rPr>
                      <w:rFonts w:hint="eastAsia" w:ascii="仿宋" w:hAnsi="仿宋" w:eastAsia="仿宋" w:cs="仿宋"/>
                      <w:sz w:val="28"/>
                      <w:szCs w:val="28"/>
                    </w:rPr>
                  </w:pPr>
                  <w:r>
                    <w:rPr>
                      <w:rFonts w:hint="eastAsia" w:ascii="仿宋" w:hAnsi="仿宋" w:eastAsia="仿宋" w:cs="仿宋"/>
                      <w:sz w:val="28"/>
                      <w:szCs w:val="28"/>
                    </w:rPr>
                    <w:t>《南阳市大气污染防治条例》第三十条  市、县（市、区）人民政府及其发展改革、农业农村部门应当制定激励政策，推进秸秆肥料化、饲料化、能源化、工业原料化和食用菌基料化开发，逐步实现秸秆综合利用。禁止露天焚烧秸秆。农业农村部门负责秸秆禁烧的监督管理工作，乡镇人民政府、街道办事处负责做好秸秆禁烧的宣传和巡查等工作。。</w:t>
                  </w:r>
                </w:p>
              </w:tc>
            </w:tr>
            <w:tr w14:paraId="36E76113">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26FB9A">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8</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9B1A86">
                  <w:pPr>
                    <w:jc w:val="center"/>
                    <w:rPr>
                      <w:rFonts w:hint="eastAsia" w:ascii="仿宋" w:hAnsi="仿宋" w:eastAsia="仿宋" w:cs="仿宋"/>
                      <w:sz w:val="28"/>
                      <w:szCs w:val="28"/>
                    </w:rPr>
                  </w:pPr>
                  <w:r>
                    <w:rPr>
                      <w:rFonts w:hint="eastAsia" w:ascii="仿宋" w:hAnsi="仿宋" w:eastAsia="仿宋" w:cs="仿宋"/>
                      <w:sz w:val="28"/>
                      <w:szCs w:val="28"/>
                    </w:rPr>
                    <w:t>对农业植物检疫的行政检查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474050F6">
                  <w:pPr>
                    <w:ind w:firstLine="560" w:firstLineChars="200"/>
                    <w:rPr>
                      <w:rFonts w:hint="eastAsia" w:ascii="仿宋" w:hAnsi="仿宋" w:eastAsia="仿宋" w:cs="仿宋"/>
                      <w:sz w:val="28"/>
                      <w:szCs w:val="28"/>
                    </w:rPr>
                  </w:pPr>
                  <w:r>
                    <w:rPr>
                      <w:rFonts w:hint="eastAsia" w:ascii="仿宋" w:hAnsi="仿宋" w:eastAsia="仿宋" w:cs="仿宋"/>
                      <w:sz w:val="28"/>
                      <w:szCs w:val="28"/>
                    </w:rPr>
                    <w:t>《植物检疫条例》第二条 县级以上地方各级农业主管部门、林业主管部门所属的植物检疫机构，负责执行国家的植物检疫任务</w:t>
                  </w:r>
                </w:p>
              </w:tc>
            </w:tr>
            <w:tr w14:paraId="6CEA0DE3">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00C6E7">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9</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FE5FE3">
                  <w:pPr>
                    <w:jc w:val="center"/>
                    <w:rPr>
                      <w:rFonts w:hint="eastAsia" w:ascii="仿宋" w:hAnsi="仿宋" w:eastAsia="仿宋" w:cs="仿宋"/>
                      <w:sz w:val="28"/>
                      <w:szCs w:val="28"/>
                    </w:rPr>
                  </w:pPr>
                  <w:r>
                    <w:rPr>
                      <w:rFonts w:hint="eastAsia" w:ascii="仿宋" w:hAnsi="仿宋" w:eastAsia="仿宋" w:cs="仿宋"/>
                      <w:sz w:val="28"/>
                      <w:szCs w:val="28"/>
                    </w:rPr>
                    <w:t>对县级以上人民政府畜牧兽医主管部门负责奶畜饲养以及生鲜乳生产环节、收购环节的监督管理的行政检查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34B3EA3D">
                  <w:pPr>
                    <w:ind w:firstLine="560" w:firstLineChars="200"/>
                    <w:rPr>
                      <w:rFonts w:hint="eastAsia" w:ascii="仿宋" w:hAnsi="仿宋" w:eastAsia="仿宋" w:cs="仿宋"/>
                      <w:sz w:val="28"/>
                      <w:szCs w:val="28"/>
                    </w:rPr>
                  </w:pPr>
                  <w:r>
                    <w:rPr>
                      <w:rFonts w:hint="eastAsia" w:ascii="仿宋" w:hAnsi="仿宋" w:eastAsia="仿宋" w:cs="仿宋"/>
                      <w:sz w:val="28"/>
                      <w:szCs w:val="28"/>
                    </w:rPr>
                    <w:t>《乳品质量安全监督管理条例》第四条县级以上地方人民政府对本行政区域内的乳品质量安全监督管理负总责。</w:t>
                  </w:r>
                </w:p>
                <w:p w14:paraId="477F8A29">
                  <w:pPr>
                    <w:ind w:firstLine="560" w:firstLineChars="200"/>
                    <w:rPr>
                      <w:rFonts w:hint="eastAsia" w:ascii="仿宋" w:hAnsi="仿宋" w:eastAsia="仿宋" w:cs="仿宋"/>
                      <w:sz w:val="28"/>
                      <w:szCs w:val="28"/>
                    </w:rPr>
                  </w:pPr>
                  <w:r>
                    <w:rPr>
                      <w:rFonts w:hint="eastAsia" w:ascii="仿宋" w:hAnsi="仿宋" w:eastAsia="仿宋" w:cs="仿宋"/>
                      <w:sz w:val="28"/>
                      <w:szCs w:val="28"/>
                    </w:rPr>
                    <w:t>县级以上人民政府畜牧兽医主管部门负责奶畜饲养以及生鲜乳生产环节、收购环节的监督管理。县级以上质量监督检验检疫部门负责乳制品生产环节和乳品进出口环节的监督管理。县级以上工商行政管理部门负责乳制品销售环节的监督管理。县级以上食品药品监督部门负责乳制品餐饮服务环节的监督管理。县级以上人民政府卫生主管部门依照职权负责乳品质量安全监督管理的综合协调、组织查处食品安全重大事故。县级以上人民政府其他有关部门在各自职责范围内负责乳品质量安全监督管理的其他工作。</w:t>
                  </w:r>
                </w:p>
              </w:tc>
            </w:tr>
            <w:tr w14:paraId="223C0C1E">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F6F65C">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10</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C94EEB">
                  <w:pPr>
                    <w:jc w:val="center"/>
                    <w:rPr>
                      <w:rFonts w:hint="eastAsia" w:ascii="仿宋" w:hAnsi="仿宋" w:eastAsia="仿宋" w:cs="仿宋"/>
                      <w:sz w:val="28"/>
                      <w:szCs w:val="28"/>
                    </w:rPr>
                  </w:pPr>
                  <w:r>
                    <w:rPr>
                      <w:rFonts w:hint="eastAsia" w:ascii="仿宋" w:hAnsi="仿宋" w:eastAsia="仿宋" w:cs="仿宋"/>
                      <w:sz w:val="28"/>
                      <w:szCs w:val="28"/>
                    </w:rPr>
                    <w:t>对生鲜乳质量安全监督检查的行政检查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0F4DE8E5">
                  <w:pPr>
                    <w:ind w:firstLine="560" w:firstLineChars="200"/>
                    <w:rPr>
                      <w:rFonts w:hint="eastAsia" w:ascii="仿宋" w:hAnsi="仿宋" w:eastAsia="仿宋" w:cs="仿宋"/>
                      <w:sz w:val="28"/>
                      <w:szCs w:val="28"/>
                    </w:rPr>
                  </w:pPr>
                  <w:r>
                    <w:rPr>
                      <w:rFonts w:hint="eastAsia" w:ascii="仿宋" w:hAnsi="仿宋" w:eastAsia="仿宋" w:cs="仿宋"/>
                      <w:sz w:val="28"/>
                      <w:szCs w:val="28"/>
                    </w:rPr>
                    <w:t>《乳品质量安全监督管理条例》第四条县级以上地方人民政府对本行政区域内的乳品质量安全监督管理负总责。</w:t>
                  </w:r>
                </w:p>
                <w:p w14:paraId="1FC1F4DD">
                  <w:pPr>
                    <w:ind w:firstLine="560" w:firstLineChars="200"/>
                    <w:rPr>
                      <w:rFonts w:hint="eastAsia" w:ascii="仿宋" w:hAnsi="仿宋" w:eastAsia="仿宋" w:cs="仿宋"/>
                      <w:sz w:val="28"/>
                      <w:szCs w:val="28"/>
                    </w:rPr>
                  </w:pPr>
                  <w:r>
                    <w:rPr>
                      <w:rFonts w:hint="eastAsia" w:ascii="仿宋" w:hAnsi="仿宋" w:eastAsia="仿宋" w:cs="仿宋"/>
                      <w:sz w:val="28"/>
                      <w:szCs w:val="28"/>
                    </w:rPr>
                    <w:t>县级以上人民政府畜牧兽医主管部门负责奶畜饲养以及生鲜乳生产环节、收购环节的监督管理。县级以上质量监督检验检疫部门负责乳制品生产环节和乳品进出口环节的监督管理。县级以上工商行政管理部门负责乳制品销售环节的监督管理。县级以上食品药品监督部门负责乳制品餐饮服务环节的监督管理。县级以上人民政府卫生主管部门依照职权负责乳品质量安全监督管理的综合协调、组织查处食品安全重大事故。县级以上人民政府其他有关部门在各自职责范围内负责乳品质量安全监督管理的其他工作。</w:t>
                  </w:r>
                </w:p>
              </w:tc>
            </w:tr>
            <w:tr w14:paraId="000063E3">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85A158">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11</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4747A6">
                  <w:pPr>
                    <w:jc w:val="center"/>
                    <w:rPr>
                      <w:rFonts w:hint="eastAsia" w:ascii="仿宋" w:hAnsi="仿宋" w:eastAsia="仿宋" w:cs="仿宋"/>
                      <w:sz w:val="28"/>
                      <w:szCs w:val="28"/>
                    </w:rPr>
                  </w:pPr>
                  <w:r>
                    <w:rPr>
                      <w:rFonts w:hint="eastAsia" w:ascii="仿宋" w:hAnsi="仿宋" w:eastAsia="仿宋" w:cs="仿宋"/>
                      <w:sz w:val="28"/>
                      <w:szCs w:val="28"/>
                    </w:rPr>
                    <w:t>对饲料、饲料添加剂监督抽查的行政检查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4AD2A5F8">
                  <w:pPr>
                    <w:ind w:firstLine="560" w:firstLineChars="200"/>
                    <w:rPr>
                      <w:rFonts w:hint="eastAsia" w:ascii="仿宋" w:hAnsi="仿宋" w:eastAsia="仿宋" w:cs="仿宋"/>
                      <w:sz w:val="28"/>
                      <w:szCs w:val="28"/>
                    </w:rPr>
                  </w:pPr>
                  <w:r>
                    <w:rPr>
                      <w:rFonts w:hint="eastAsia" w:ascii="仿宋" w:hAnsi="仿宋" w:eastAsia="仿宋" w:cs="仿宋"/>
                      <w:sz w:val="28"/>
                      <w:szCs w:val="28"/>
                    </w:rPr>
                    <w:t>《饲料和饲料添加剂管理条例》第三条国务院农业行政主管部门负责全国饲料、饲料添加剂的监督管理工作。</w:t>
                  </w:r>
                </w:p>
                <w:p w14:paraId="53C23933">
                  <w:pPr>
                    <w:ind w:firstLine="560" w:firstLineChars="200"/>
                    <w:rPr>
                      <w:rFonts w:hint="eastAsia" w:ascii="仿宋" w:hAnsi="仿宋" w:eastAsia="仿宋" w:cs="仿宋"/>
                      <w:sz w:val="28"/>
                      <w:szCs w:val="28"/>
                    </w:rPr>
                  </w:pPr>
                  <w:r>
                    <w:rPr>
                      <w:rFonts w:hint="eastAsia" w:ascii="仿宋" w:hAnsi="仿宋" w:eastAsia="仿宋" w:cs="仿宋"/>
                      <w:sz w:val="28"/>
                      <w:szCs w:val="28"/>
                    </w:rPr>
                    <w:t>县级以上地方人民政府负责饲料、饲料添加剂管理的部门（以下简称饲料管理部门），负责本行政区域饲料、饲料添加剂的监督管理工作。</w:t>
                  </w:r>
                </w:p>
              </w:tc>
            </w:tr>
            <w:tr w14:paraId="5AAE36CF">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D1DCF8">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12</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DF4F5C8">
                  <w:pPr>
                    <w:jc w:val="center"/>
                    <w:rPr>
                      <w:rFonts w:hint="eastAsia" w:ascii="仿宋" w:hAnsi="仿宋" w:eastAsia="仿宋" w:cs="仿宋"/>
                      <w:sz w:val="28"/>
                      <w:szCs w:val="28"/>
                    </w:rPr>
                  </w:pPr>
                  <w:r>
                    <w:rPr>
                      <w:rFonts w:hint="eastAsia" w:ascii="仿宋" w:hAnsi="仿宋" w:eastAsia="仿宋" w:cs="仿宋"/>
                      <w:sz w:val="28"/>
                      <w:szCs w:val="28"/>
                    </w:rPr>
                    <w:t>对农业转基因生物安全监督检查的行政检查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56B65F0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《农业转基因生物安全管理条例》第四条 国务院农业行政主管部门                                                                                                       </w:t>
                  </w:r>
                </w:p>
                <w:p w14:paraId="5FD33234">
                  <w:pPr>
                    <w:ind w:firstLine="560" w:firstLineChars="200"/>
                    <w:rPr>
                      <w:rFonts w:hint="eastAsia" w:ascii="仿宋" w:hAnsi="仿宋" w:eastAsia="仿宋" w:cs="仿宋"/>
                      <w:sz w:val="28"/>
                      <w:szCs w:val="28"/>
                    </w:rPr>
                  </w:pPr>
                  <w:r>
                    <w:rPr>
                      <w:rFonts w:hint="eastAsia" w:ascii="仿宋" w:hAnsi="仿宋" w:eastAsia="仿宋" w:cs="仿宋"/>
                      <w:sz w:val="28"/>
                      <w:szCs w:val="28"/>
                    </w:rPr>
                    <w:t>负责全国农业转基因生物安全的监督管理工作。</w:t>
                  </w:r>
                </w:p>
                <w:p w14:paraId="2C38465E">
                  <w:pPr>
                    <w:rPr>
                      <w:rFonts w:hint="eastAsia" w:ascii="仿宋" w:hAnsi="仿宋" w:eastAsia="仿宋" w:cs="仿宋"/>
                      <w:sz w:val="28"/>
                      <w:szCs w:val="28"/>
                    </w:rPr>
                  </w:pPr>
                  <w:r>
                    <w:rPr>
                      <w:rFonts w:hint="eastAsia" w:ascii="仿宋" w:hAnsi="仿宋" w:eastAsia="仿宋" w:cs="仿宋"/>
                      <w:sz w:val="28"/>
                      <w:szCs w:val="28"/>
                    </w:rPr>
                    <w:t>　　县级以上地方各级人民政府农业行政主管部门负责本行政区域内的农业转基因生物安全的监督管理工作法和规定的职责，对农产品质量安全实施监督管理。</w:t>
                  </w:r>
                </w:p>
              </w:tc>
            </w:tr>
            <w:tr w14:paraId="74EEEDE0">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BA5158F">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13</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178097">
                  <w:pPr>
                    <w:jc w:val="center"/>
                    <w:rPr>
                      <w:rFonts w:hint="eastAsia" w:ascii="仿宋" w:hAnsi="仿宋" w:eastAsia="仿宋" w:cs="仿宋"/>
                      <w:sz w:val="28"/>
                      <w:szCs w:val="28"/>
                    </w:rPr>
                  </w:pPr>
                  <w:r>
                    <w:rPr>
                      <w:rFonts w:hint="eastAsia" w:ascii="仿宋" w:hAnsi="仿宋" w:eastAsia="仿宋" w:cs="仿宋"/>
                      <w:sz w:val="28"/>
                      <w:szCs w:val="28"/>
                    </w:rPr>
                    <w:t>对农业机械安全监督管理执法人员在农田、场院等场所进行农业机械安全监督检查的行政检查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51B535E5">
                  <w:pPr>
                    <w:ind w:firstLine="560" w:firstLineChars="200"/>
                    <w:rPr>
                      <w:rFonts w:hint="eastAsia" w:ascii="仿宋" w:hAnsi="仿宋" w:eastAsia="仿宋" w:cs="仿宋"/>
                      <w:sz w:val="28"/>
                      <w:szCs w:val="28"/>
                    </w:rPr>
                  </w:pPr>
                  <w:r>
                    <w:rPr>
                      <w:rFonts w:hint="eastAsia" w:ascii="仿宋" w:hAnsi="仿宋" w:eastAsia="仿宋" w:cs="仿宋"/>
                      <w:sz w:val="28"/>
                      <w:szCs w:val="28"/>
                    </w:rPr>
                    <w:t>《农业机械安全监督管理条例》第四十条　农业机械安全监督管理执法人员在农田、场院等场所进行农业机械安全监督检查时，可以采取下列措施：（一）向有关单位和个人了解情况，查阅、复制有关资料；（二）查验拖拉机、联合收割机证书、牌照及有关操作证件；（三）检查危及人身财产安全的农业机械的安全状况，对存在重大事故隐患的农业机械，责令当事人立即停止作业或者停止农业机械的转移，并进行维修；（四）责令农业机械操作人员改正违规操作行为。</w:t>
                  </w:r>
                </w:p>
              </w:tc>
            </w:tr>
            <w:tr w14:paraId="07EE0DDF">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B04150C">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14</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4460D15">
                  <w:pPr>
                    <w:jc w:val="center"/>
                    <w:rPr>
                      <w:rFonts w:hint="eastAsia" w:ascii="仿宋" w:hAnsi="仿宋" w:eastAsia="仿宋" w:cs="仿宋"/>
                      <w:sz w:val="28"/>
                      <w:szCs w:val="28"/>
                    </w:rPr>
                  </w:pPr>
                  <w:r>
                    <w:rPr>
                      <w:rFonts w:hint="eastAsia" w:ascii="仿宋" w:hAnsi="仿宋" w:eastAsia="仿宋" w:cs="仿宋"/>
                      <w:sz w:val="28"/>
                      <w:szCs w:val="28"/>
                    </w:rPr>
                    <w:t>对兽药质量监督抽查的行政检查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4B933846">
                  <w:pPr>
                    <w:ind w:firstLine="560" w:firstLineChars="200"/>
                    <w:rPr>
                      <w:rFonts w:hint="eastAsia" w:ascii="仿宋" w:hAnsi="仿宋" w:eastAsia="仿宋" w:cs="仿宋"/>
                      <w:sz w:val="28"/>
                      <w:szCs w:val="28"/>
                    </w:rPr>
                  </w:pPr>
                  <w:r>
                    <w:rPr>
                      <w:rFonts w:hint="eastAsia" w:ascii="仿宋" w:hAnsi="仿宋" w:eastAsia="仿宋" w:cs="仿宋"/>
                      <w:sz w:val="28"/>
                      <w:szCs w:val="28"/>
                    </w:rPr>
                    <w:t>《兽药质量监督抽查检验管理办法》第三条 第三款市县级农业农村主管部门负责本行政区域内兽药质量监督抽查工作，承担上级农业农村主管部门下达的监督抽查检验任务；查处监督抽查检验结果不符合规定的兽药和发现的违法违规行</w:t>
                  </w:r>
                </w:p>
              </w:tc>
            </w:tr>
            <w:tr w14:paraId="62B0382A">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6965F97">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15</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4AB92A">
                  <w:pPr>
                    <w:jc w:val="center"/>
                    <w:rPr>
                      <w:rFonts w:hint="eastAsia" w:ascii="仿宋" w:hAnsi="仿宋" w:eastAsia="仿宋" w:cs="仿宋"/>
                      <w:sz w:val="28"/>
                      <w:szCs w:val="28"/>
                    </w:rPr>
                  </w:pPr>
                  <w:r>
                    <w:rPr>
                      <w:rFonts w:hint="eastAsia" w:ascii="仿宋" w:hAnsi="仿宋" w:eastAsia="仿宋" w:cs="仿宋"/>
                      <w:sz w:val="28"/>
                      <w:szCs w:val="28"/>
                    </w:rPr>
                    <w:t>对农药监督管理的行政检查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153E4D0C">
                  <w:pPr>
                    <w:ind w:firstLine="560" w:firstLineChars="200"/>
                    <w:rPr>
                      <w:rFonts w:hint="eastAsia" w:ascii="仿宋" w:hAnsi="仿宋" w:eastAsia="仿宋" w:cs="仿宋"/>
                      <w:sz w:val="28"/>
                      <w:szCs w:val="28"/>
                    </w:rPr>
                  </w:pPr>
                  <w:r>
                    <w:rPr>
                      <w:rFonts w:hint="eastAsia" w:ascii="仿宋" w:hAnsi="仿宋" w:eastAsia="仿宋" w:cs="仿宋"/>
                      <w:sz w:val="28"/>
                      <w:szCs w:val="28"/>
                    </w:rPr>
                    <w:t>《农药管理条例》第三条　国务院农业主管部门负责全国的农药监督管理工作。县级以上地方人民政府农业主管部门负责本行政区域的农药监督管理工作。县级以上人民政府其他有关部门在各自职责范围内负责有关的农药监督管理工作</w:t>
                  </w:r>
                </w:p>
              </w:tc>
            </w:tr>
            <w:tr w14:paraId="5152E031">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A9D45D">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16</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9295E5">
                  <w:pPr>
                    <w:jc w:val="center"/>
                    <w:rPr>
                      <w:rFonts w:hint="eastAsia" w:ascii="仿宋" w:hAnsi="仿宋" w:eastAsia="仿宋" w:cs="仿宋"/>
                      <w:sz w:val="28"/>
                      <w:szCs w:val="28"/>
                    </w:rPr>
                  </w:pPr>
                  <w:r>
                    <w:rPr>
                      <w:rFonts w:hint="eastAsia" w:ascii="仿宋" w:hAnsi="仿宋" w:eastAsia="仿宋" w:cs="仿宋"/>
                      <w:sz w:val="28"/>
                      <w:szCs w:val="28"/>
                    </w:rPr>
                    <w:t>对渔业养殖、捕捞等的行政检查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01BC42DA">
                  <w:pPr>
                    <w:ind w:firstLine="560" w:firstLineChars="200"/>
                    <w:rPr>
                      <w:rFonts w:hint="eastAsia" w:ascii="仿宋" w:hAnsi="仿宋" w:eastAsia="仿宋" w:cs="仿宋"/>
                      <w:sz w:val="28"/>
                      <w:szCs w:val="28"/>
                    </w:rPr>
                  </w:pPr>
                  <w:r>
                    <w:rPr>
                      <w:rFonts w:hint="eastAsia" w:ascii="仿宋" w:hAnsi="仿宋" w:eastAsia="仿宋" w:cs="仿宋"/>
                      <w:sz w:val="28"/>
                      <w:szCs w:val="28"/>
                    </w:rPr>
                    <w:t>《渔业法》第六条　国务院渔业行政主管部门主管全国的渔业工作。县级以上地方人民政府渔业行政主管部门主管本行政区域内的渔业工作。县级以上人民政府渔业行政主管部门可以在重要渔业水域、渔港设渔政监督管理机构。</w:t>
                  </w:r>
                </w:p>
                <w:p w14:paraId="13C82CB5">
                  <w:pPr>
                    <w:ind w:firstLine="560" w:firstLineChars="200"/>
                    <w:rPr>
                      <w:rFonts w:hint="eastAsia" w:ascii="仿宋" w:hAnsi="仿宋" w:eastAsia="仿宋" w:cs="仿宋"/>
                      <w:sz w:val="28"/>
                      <w:szCs w:val="28"/>
                    </w:rPr>
                  </w:pPr>
                  <w:r>
                    <w:rPr>
                      <w:rFonts w:hint="eastAsia" w:ascii="仿宋" w:hAnsi="仿宋" w:eastAsia="仿宋" w:cs="仿宋"/>
                      <w:sz w:val="28"/>
                      <w:szCs w:val="28"/>
                    </w:rPr>
                    <w:t>县级以上人民政府渔业行政主管部门及其所属的渔政监督管理机构可以设渔政检查人员。渔政检查人员执行渔业行政主管部门及其所属的渔政监督管理机构交付的任务。</w:t>
                  </w:r>
                </w:p>
                <w:p w14:paraId="40063104">
                  <w:pPr>
                    <w:ind w:firstLine="560" w:firstLineChars="200"/>
                    <w:rPr>
                      <w:rFonts w:hint="eastAsia" w:ascii="仿宋" w:hAnsi="仿宋" w:eastAsia="仿宋" w:cs="仿宋"/>
                      <w:sz w:val="28"/>
                      <w:szCs w:val="28"/>
                    </w:rPr>
                  </w:pPr>
                </w:p>
              </w:tc>
            </w:tr>
            <w:tr w14:paraId="589915FB">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39D7D8">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17</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305E84">
                  <w:pPr>
                    <w:jc w:val="center"/>
                    <w:rPr>
                      <w:rFonts w:hint="eastAsia" w:ascii="仿宋" w:hAnsi="仿宋" w:eastAsia="仿宋" w:cs="仿宋"/>
                      <w:sz w:val="28"/>
                      <w:szCs w:val="28"/>
                    </w:rPr>
                  </w:pPr>
                  <w:r>
                    <w:rPr>
                      <w:rFonts w:hint="eastAsia" w:ascii="仿宋" w:hAnsi="仿宋" w:eastAsia="仿宋" w:cs="仿宋"/>
                      <w:sz w:val="28"/>
                      <w:szCs w:val="28"/>
                    </w:rPr>
                    <w:t>对饲养动物的单位和个人履行强制免疫义务的情况进行的行政检查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4155BE85">
                  <w:pPr>
                    <w:ind w:firstLine="560" w:firstLineChars="200"/>
                    <w:rPr>
                      <w:rFonts w:hint="eastAsia" w:ascii="仿宋" w:hAnsi="仿宋" w:eastAsia="仿宋" w:cs="仿宋"/>
                      <w:sz w:val="28"/>
                      <w:szCs w:val="28"/>
                    </w:rPr>
                  </w:pPr>
                  <w:r>
                    <w:rPr>
                      <w:rFonts w:hint="eastAsia" w:ascii="仿宋" w:hAnsi="仿宋" w:eastAsia="仿宋" w:cs="仿宋"/>
                      <w:sz w:val="28"/>
                      <w:szCs w:val="28"/>
                    </w:rPr>
                    <w:t>《中华人民共和国动物防疫法》第九条　国务院农业农村主管部门主管全国的动物防疫工作。</w:t>
                  </w:r>
                </w:p>
                <w:p w14:paraId="6BA70556">
                  <w:pPr>
                    <w:rPr>
                      <w:rFonts w:hint="eastAsia" w:ascii="仿宋" w:hAnsi="仿宋" w:eastAsia="仿宋" w:cs="仿宋"/>
                      <w:sz w:val="28"/>
                      <w:szCs w:val="28"/>
                    </w:rPr>
                  </w:pPr>
                  <w:r>
                    <w:rPr>
                      <w:rFonts w:hint="eastAsia" w:ascii="仿宋" w:hAnsi="仿宋" w:eastAsia="仿宋" w:cs="仿宋"/>
                      <w:sz w:val="28"/>
                      <w:szCs w:val="28"/>
                    </w:rPr>
                    <w:t>县级以上地方人民政府农业农村主管部门主管本行政区域的动物防疫工作。</w:t>
                  </w:r>
                </w:p>
                <w:p w14:paraId="3AA4837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第十七条　饲养动物的单位和个人应当履行动物疫病强制免疫义务，按照强制免疫计划和技术规范，对动物实施免疫接种，并按照国家有关规定建立免疫档案、加施畜禽标识，保证可追溯。</w:t>
                  </w:r>
                </w:p>
                <w:p w14:paraId="53717DB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实施强制免疫接种的动物未达到免疫质量要求，实施补充免疫接种后仍不符合免疫质量要求的，有关单位和个人应当按照国家有关规定处理。</w:t>
                  </w:r>
                </w:p>
                <w:p w14:paraId="558B238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用于预防接种的疫苗应当符合国家质量标准。</w:t>
                  </w:r>
                </w:p>
                <w:p w14:paraId="5FA37BA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第十八条　县级以上地方人民政府农业农村主管部门负责组织实施动物疫病强制免疫计划，并对饲养动物的单位和个人履行强制免疫义务的情况进行监督检查。</w:t>
                  </w:r>
                </w:p>
                <w:p w14:paraId="14660BE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乡级人民政府、街道办事处组织本辖区饲养动物的单位和个人做好强制免疫，协助做好监督检查；村民委员会、居民委员会协助做好相关工作。</w:t>
                  </w:r>
                </w:p>
                <w:p w14:paraId="63EBEB1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25"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县级以上地方人民政府农业农村主管部门应当定期对本行政区域的强制免疫计划实施情况和效果进行评估，并向社会公布评估结果。</w:t>
                  </w:r>
                </w:p>
                <w:p w14:paraId="344CFBDF">
                  <w:pPr>
                    <w:ind w:firstLine="560" w:firstLineChars="200"/>
                    <w:rPr>
                      <w:rFonts w:hint="eastAsia" w:ascii="仿宋" w:hAnsi="仿宋" w:eastAsia="仿宋" w:cs="仿宋"/>
                      <w:sz w:val="28"/>
                      <w:szCs w:val="28"/>
                    </w:rPr>
                  </w:pPr>
                </w:p>
              </w:tc>
            </w:tr>
            <w:tr w14:paraId="4ED4C348">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C0C11F">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18</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4F277F">
                  <w:pPr>
                    <w:jc w:val="center"/>
                    <w:rPr>
                      <w:rFonts w:hint="eastAsia" w:ascii="仿宋" w:hAnsi="仿宋" w:eastAsia="仿宋" w:cs="仿宋"/>
                      <w:sz w:val="28"/>
                      <w:szCs w:val="28"/>
                    </w:rPr>
                  </w:pPr>
                  <w:r>
                    <w:rPr>
                      <w:rFonts w:hint="eastAsia" w:ascii="仿宋" w:hAnsi="仿宋" w:eastAsia="仿宋" w:cs="仿宋"/>
                      <w:sz w:val="28"/>
                      <w:szCs w:val="28"/>
                    </w:rPr>
                    <w:t>对种子生产经营场所进行的行政检查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36583A39">
                  <w:pPr>
                    <w:ind w:firstLine="560" w:firstLineChars="200"/>
                    <w:rPr>
                      <w:rFonts w:hint="eastAsia" w:ascii="仿宋" w:hAnsi="仿宋" w:eastAsia="仿宋" w:cs="仿宋"/>
                      <w:sz w:val="28"/>
                      <w:szCs w:val="28"/>
                    </w:rPr>
                  </w:pPr>
                  <w:r>
                    <w:rPr>
                      <w:rFonts w:hint="eastAsia" w:ascii="仿宋" w:hAnsi="仿宋" w:eastAsia="仿宋" w:cs="仿宋"/>
                      <w:sz w:val="28"/>
                      <w:szCs w:val="28"/>
                    </w:rPr>
                    <w:t>《中华人民共和国种子法》第四十九条 农业农村、林业草原主管部门是种子行政执法机关。种子执法人员依法执行公务时应当出示行政执法证件。农业农村、林业草原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14:paraId="7A409CBF">
                  <w:pPr>
                    <w:ind w:firstLine="280" w:firstLineChars="100"/>
                    <w:rPr>
                      <w:rFonts w:hint="eastAsia" w:ascii="仿宋" w:hAnsi="仿宋" w:eastAsia="仿宋" w:cs="仿宋"/>
                      <w:sz w:val="28"/>
                      <w:szCs w:val="28"/>
                    </w:rPr>
                  </w:pPr>
                  <w:r>
                    <w:rPr>
                      <w:rFonts w:hint="eastAsia" w:ascii="仿宋" w:hAnsi="仿宋" w:eastAsia="仿宋" w:cs="仿宋"/>
                      <w:sz w:val="28"/>
                      <w:szCs w:val="28"/>
                    </w:rPr>
                    <w:t>农业农村、林业草原主管部门依照本法规定行使职权，当事人应当协助、配合，不得拒绝、阻挠。</w:t>
                  </w:r>
                </w:p>
                <w:p w14:paraId="41FF46A0">
                  <w:pPr>
                    <w:ind w:firstLine="280" w:firstLineChars="100"/>
                    <w:rPr>
                      <w:rFonts w:hint="eastAsia" w:ascii="仿宋" w:hAnsi="仿宋" w:eastAsia="仿宋" w:cs="仿宋"/>
                      <w:sz w:val="28"/>
                      <w:szCs w:val="28"/>
                    </w:rPr>
                  </w:pPr>
                  <w:r>
                    <w:rPr>
                      <w:rFonts w:hint="eastAsia" w:ascii="仿宋" w:hAnsi="仿宋" w:eastAsia="仿宋" w:cs="仿宋"/>
                      <w:sz w:val="28"/>
                      <w:szCs w:val="28"/>
                    </w:rPr>
                    <w:t>农业农村、林业草原主管部门所属的综合执法机构或者受其委托的种子管理机构，可以开展种子执法相关工作。</w:t>
                  </w:r>
                </w:p>
                <w:p w14:paraId="3CCB6115">
                  <w:pPr>
                    <w:rPr>
                      <w:rFonts w:hint="eastAsia" w:ascii="仿宋" w:hAnsi="仿宋" w:eastAsia="仿宋" w:cs="仿宋"/>
                      <w:sz w:val="28"/>
                      <w:szCs w:val="28"/>
                    </w:rPr>
                  </w:pPr>
                </w:p>
              </w:tc>
            </w:tr>
            <w:tr w14:paraId="327CF1C6">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55C36F9">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19</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EAB7BD">
                  <w:pPr>
                    <w:jc w:val="left"/>
                    <w:rPr>
                      <w:rFonts w:hint="eastAsia" w:ascii="仿宋" w:hAnsi="仿宋" w:eastAsia="仿宋" w:cs="仿宋"/>
                      <w:sz w:val="28"/>
                      <w:szCs w:val="28"/>
                    </w:rPr>
                  </w:pPr>
                  <w:r>
                    <w:rPr>
                      <w:rFonts w:hint="eastAsia" w:ascii="仿宋" w:hAnsi="仿宋" w:eastAsia="仿宋" w:cs="仿宋"/>
                      <w:sz w:val="28"/>
                      <w:szCs w:val="28"/>
                    </w:rPr>
                    <w:t>对农产品质量安全监督检查的行政检查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16F111E5">
                  <w:pPr>
                    <w:ind w:firstLine="560" w:firstLineChars="200"/>
                    <w:rPr>
                      <w:rFonts w:hint="eastAsia" w:ascii="仿宋" w:hAnsi="仿宋" w:eastAsia="仿宋" w:cs="仿宋"/>
                      <w:sz w:val="28"/>
                      <w:szCs w:val="28"/>
                    </w:rPr>
                  </w:pPr>
                  <w:r>
                    <w:rPr>
                      <w:rFonts w:hint="eastAsia" w:ascii="仿宋" w:hAnsi="仿宋" w:eastAsia="仿宋" w:cs="仿宋"/>
                      <w:sz w:val="28"/>
                      <w:szCs w:val="28"/>
                    </w:rPr>
                    <w:t>《中华人民共和国农产品质量安全法》第六条第二款：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w:t>
                  </w:r>
                </w:p>
              </w:tc>
            </w:tr>
            <w:tr w14:paraId="05D4C073">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914DC0">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20</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7B0AC86">
                  <w:pPr>
                    <w:jc w:val="left"/>
                    <w:rPr>
                      <w:rFonts w:hint="eastAsia" w:ascii="仿宋" w:hAnsi="仿宋" w:eastAsia="仿宋" w:cs="仿宋"/>
                      <w:sz w:val="28"/>
                      <w:szCs w:val="28"/>
                    </w:rPr>
                  </w:pPr>
                  <w:r>
                    <w:rPr>
                      <w:rFonts w:hint="eastAsia" w:ascii="仿宋" w:hAnsi="仿宋" w:eastAsia="仿宋" w:cs="仿宋"/>
                      <w:sz w:val="28"/>
                      <w:szCs w:val="28"/>
                    </w:rPr>
                    <w:t>对畜牧业的监督检查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04541562">
                  <w:pPr>
                    <w:ind w:firstLine="560" w:firstLineChars="200"/>
                    <w:rPr>
                      <w:rFonts w:hint="eastAsia" w:ascii="仿宋" w:hAnsi="仿宋" w:eastAsia="仿宋" w:cs="仿宋"/>
                      <w:sz w:val="28"/>
                      <w:szCs w:val="28"/>
                    </w:rPr>
                  </w:pPr>
                  <w:bookmarkStart w:id="1" w:name="OLE_LINK2"/>
                  <w:r>
                    <w:rPr>
                      <w:rFonts w:hint="eastAsia" w:ascii="仿宋" w:hAnsi="仿宋" w:eastAsia="仿宋" w:cs="仿宋"/>
                      <w:sz w:val="28"/>
                      <w:szCs w:val="28"/>
                    </w:rPr>
                    <w:t>《中华人民共和国畜牧法》</w:t>
                  </w:r>
                  <w:bookmarkEnd w:id="1"/>
                  <w:r>
                    <w:rPr>
                      <w:rFonts w:hint="eastAsia" w:ascii="仿宋" w:hAnsi="仿宋" w:eastAsia="仿宋" w:cs="仿宋"/>
                      <w:sz w:val="28"/>
                      <w:szCs w:val="28"/>
                    </w:rPr>
                    <w:t>第七条国务院畜牧兽医行政主管部门负责全国畜牧业的监督管理工作。县级以上地方人民政府畜牧兽医行政主管部门负责本行政区域内的畜牧业监督管理工作。</w:t>
                  </w:r>
                </w:p>
                <w:p w14:paraId="42563E71">
                  <w:pPr>
                    <w:ind w:firstLine="560" w:firstLineChars="200"/>
                    <w:rPr>
                      <w:rFonts w:hint="eastAsia" w:ascii="仿宋" w:hAnsi="仿宋" w:eastAsia="仿宋" w:cs="仿宋"/>
                      <w:sz w:val="28"/>
                      <w:szCs w:val="28"/>
                    </w:rPr>
                  </w:pPr>
                </w:p>
              </w:tc>
            </w:tr>
            <w:tr w14:paraId="78EAE800">
              <w:tblPrEx>
                <w:tblCellMar>
                  <w:top w:w="12" w:type="dxa"/>
                  <w:left w:w="71" w:type="dxa"/>
                  <w:bottom w:w="0" w:type="dxa"/>
                  <w:right w:w="90" w:type="dxa"/>
                </w:tblCellMar>
              </w:tblPrEx>
              <w:trPr>
                <w:trHeight w:val="52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B68DB6">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21</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07A989">
                  <w:pPr>
                    <w:jc w:val="left"/>
                    <w:rPr>
                      <w:rFonts w:hint="eastAsia" w:ascii="仿宋" w:hAnsi="仿宋" w:eastAsia="仿宋" w:cs="仿宋"/>
                      <w:sz w:val="28"/>
                      <w:szCs w:val="28"/>
                    </w:rPr>
                  </w:pPr>
                  <w:r>
                    <w:rPr>
                      <w:rFonts w:hint="eastAsia" w:ascii="仿宋" w:hAnsi="仿宋" w:eastAsia="仿宋" w:cs="仿宋"/>
                      <w:sz w:val="28"/>
                      <w:szCs w:val="28"/>
                    </w:rPr>
                    <w:t>对畜禽饲养环境、种畜禽质量、畜禽交易与运输、畜禽屠宰以及饲料、饲料添加剂、兽药等投入品的生产、经营、使用的监督管理的行政检查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0760F913">
                  <w:pPr>
                    <w:ind w:firstLine="560" w:firstLineChars="200"/>
                    <w:rPr>
                      <w:rFonts w:hint="eastAsia" w:ascii="仿宋" w:hAnsi="仿宋" w:eastAsia="仿宋" w:cs="仿宋"/>
                      <w:sz w:val="28"/>
                      <w:szCs w:val="28"/>
                    </w:rPr>
                  </w:pPr>
                  <w:r>
                    <w:rPr>
                      <w:rFonts w:hint="eastAsia" w:ascii="仿宋" w:hAnsi="仿宋" w:eastAsia="仿宋" w:cs="仿宋"/>
                      <w:sz w:val="28"/>
                      <w:szCs w:val="28"/>
                    </w:rPr>
                    <w:t>《中华人民共和国畜牧法》第五十四条县级以上人民政府应当组织畜牧兽医行政主管部门和其他有关主管部门，依照本法和有关法律、行政法规的规定，加强对畜禽饲养环境、种畜禽质量、饲料和兽药等投入品的使用以及畜禽交易与运输的监督管理。</w:t>
                  </w:r>
                </w:p>
              </w:tc>
            </w:tr>
            <w:tr w14:paraId="60B8C3C6">
              <w:tblPrEx>
                <w:tblCellMar>
                  <w:top w:w="12" w:type="dxa"/>
                  <w:left w:w="71" w:type="dxa"/>
                  <w:bottom w:w="0" w:type="dxa"/>
                  <w:right w:w="90" w:type="dxa"/>
                </w:tblCellMar>
              </w:tblPrEx>
              <w:trPr>
                <w:trHeight w:val="90"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0C9542">
                  <w:pPr>
                    <w:widowControl/>
                    <w:spacing w:line="256" w:lineRule="auto"/>
                    <w:jc w:val="left"/>
                    <w:rPr>
                      <w:rFonts w:hint="eastAsia" w:ascii="仿宋" w:hAnsi="仿宋" w:eastAsia="仿宋" w:cs="仿宋"/>
                      <w:sz w:val="28"/>
                      <w:szCs w:val="28"/>
                    </w:rPr>
                  </w:pPr>
                  <w:r>
                    <w:rPr>
                      <w:rFonts w:hint="eastAsia" w:ascii="仿宋" w:hAnsi="仿宋" w:eastAsia="仿宋" w:cs="仿宋"/>
                      <w:sz w:val="28"/>
                      <w:szCs w:val="28"/>
                    </w:rPr>
                    <w:t>22</w:t>
                  </w:r>
                </w:p>
              </w:tc>
              <w:tc>
                <w:tcPr>
                  <w:tcW w:w="54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6E88A7">
                  <w:pPr>
                    <w:jc w:val="left"/>
                    <w:rPr>
                      <w:rFonts w:hint="eastAsia" w:ascii="仿宋" w:hAnsi="仿宋" w:eastAsia="仿宋" w:cs="仿宋"/>
                      <w:sz w:val="28"/>
                      <w:szCs w:val="28"/>
                    </w:rPr>
                  </w:pPr>
                  <w:bookmarkStart w:id="2" w:name="OLE_LINK3"/>
                  <w:r>
                    <w:rPr>
                      <w:rFonts w:hint="eastAsia" w:ascii="仿宋" w:hAnsi="仿宋" w:eastAsia="仿宋" w:cs="仿宋"/>
                      <w:sz w:val="28"/>
                      <w:szCs w:val="28"/>
                    </w:rPr>
                    <w:t>对水生野生动物及制品利用监督检查</w:t>
                  </w:r>
                  <w:bookmarkEnd w:id="2"/>
                  <w:r>
                    <w:rPr>
                      <w:rFonts w:hint="eastAsia" w:ascii="仿宋" w:hAnsi="仿宋" w:eastAsia="仿宋" w:cs="仿宋"/>
                      <w:sz w:val="28"/>
                      <w:szCs w:val="28"/>
                    </w:rPr>
                    <w:t>的行政检查</w:t>
                  </w:r>
                </w:p>
              </w:tc>
              <w:tc>
                <w:tcPr>
                  <w:tcW w:w="7061" w:type="dxa"/>
                  <w:tcBorders>
                    <w:top w:val="single" w:color="000000" w:sz="2" w:space="0"/>
                    <w:left w:val="single" w:color="000000" w:sz="2" w:space="0"/>
                    <w:bottom w:val="single" w:color="000000" w:sz="2" w:space="0"/>
                    <w:right w:val="single" w:color="000000" w:sz="2" w:space="0"/>
                  </w:tcBorders>
                  <w:shd w:val="clear" w:color="auto" w:fill="auto"/>
                </w:tcPr>
                <w:p w14:paraId="424C851A">
                  <w:pPr>
                    <w:ind w:firstLine="560" w:firstLineChars="200"/>
                    <w:rPr>
                      <w:rFonts w:hint="eastAsia" w:ascii="仿宋" w:hAnsi="仿宋" w:eastAsia="仿宋" w:cs="仿宋"/>
                      <w:sz w:val="28"/>
                      <w:szCs w:val="28"/>
                    </w:rPr>
                  </w:pPr>
                  <w:r>
                    <w:rPr>
                      <w:rFonts w:hint="eastAsia" w:ascii="仿宋" w:hAnsi="仿宋" w:eastAsia="仿宋" w:cs="仿宋"/>
                      <w:sz w:val="28"/>
                      <w:szCs w:val="28"/>
                    </w:rPr>
                    <w:t>《中华人民共和国野生动物保护法》 第七条 第二款 县级以上地方人民政府林业草原、渔业主管部门分别主管本行政区域内陆生、水生野生动物保护工作。 第三十五条　县级以上人民政府野生动物保护主管部门应当对科学研究、人工繁育、公众展示展演等利用野生动物及其制品的活动进行监督管理。</w:t>
                  </w:r>
                </w:p>
              </w:tc>
            </w:tr>
          </w:tbl>
          <w:p w14:paraId="581B7533">
            <w:pPr>
              <w:widowControl/>
              <w:spacing w:after="32" w:line="256" w:lineRule="auto"/>
              <w:jc w:val="both"/>
              <w:rPr>
                <w:rFonts w:hint="eastAsia" w:ascii="微软雅黑" w:hAnsi="微软雅黑" w:eastAsia="微软雅黑" w:cs="微软雅黑"/>
                <w:color w:val="000000"/>
                <w:sz w:val="26"/>
                <w:szCs w:val="24"/>
                <w:lang w:bidi="ar"/>
              </w:rPr>
            </w:pPr>
          </w:p>
        </w:tc>
      </w:tr>
    </w:tbl>
    <w:p w14:paraId="0033A55B">
      <w:pPr>
        <w:widowControl/>
        <w:spacing w:after="32" w:line="256" w:lineRule="auto"/>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38"/>
    <w:rsid w:val="000059B7"/>
    <w:rsid w:val="00180E2A"/>
    <w:rsid w:val="00220A6D"/>
    <w:rsid w:val="00334A40"/>
    <w:rsid w:val="00570C4F"/>
    <w:rsid w:val="005B0A6D"/>
    <w:rsid w:val="005D4967"/>
    <w:rsid w:val="007F047A"/>
    <w:rsid w:val="008C64C4"/>
    <w:rsid w:val="009118CC"/>
    <w:rsid w:val="00A85F23"/>
    <w:rsid w:val="00AB1449"/>
    <w:rsid w:val="00B1786B"/>
    <w:rsid w:val="00C22BA1"/>
    <w:rsid w:val="00C52B49"/>
    <w:rsid w:val="00CB395F"/>
    <w:rsid w:val="00E1131D"/>
    <w:rsid w:val="00E86B33"/>
    <w:rsid w:val="00E918C5"/>
    <w:rsid w:val="00FC0838"/>
    <w:rsid w:val="24E23784"/>
    <w:rsid w:val="3950511B"/>
    <w:rsid w:val="729879C9"/>
    <w:rsid w:val="72C46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37609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37609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2"/>
    <w:qFormat/>
    <w:uiPriority w:val="9"/>
    <w:rPr>
      <w:rFonts w:asciiTheme="majorHAnsi" w:hAnsiTheme="majorHAnsi" w:eastAsiaTheme="majorEastAsia" w:cstheme="majorBidi"/>
      <w:color w:val="376092" w:themeColor="accent1" w:themeShade="BF"/>
      <w:sz w:val="48"/>
      <w:szCs w:val="48"/>
    </w:rPr>
  </w:style>
  <w:style w:type="character" w:customStyle="1" w:styleId="20">
    <w:name w:val="标题 2 字符"/>
    <w:basedOn w:val="18"/>
    <w:link w:val="3"/>
    <w:semiHidden/>
    <w:qFormat/>
    <w:uiPriority w:val="9"/>
    <w:rPr>
      <w:rFonts w:asciiTheme="majorHAnsi" w:hAnsiTheme="majorHAnsi" w:eastAsiaTheme="majorEastAsia" w:cstheme="majorBidi"/>
      <w:color w:val="376092" w:themeColor="accent1" w:themeShade="BF"/>
      <w:sz w:val="40"/>
      <w:szCs w:val="40"/>
    </w:rPr>
  </w:style>
  <w:style w:type="character" w:customStyle="1" w:styleId="21">
    <w:name w:val="标题 3 字符"/>
    <w:basedOn w:val="18"/>
    <w:link w:val="4"/>
    <w:semiHidden/>
    <w:qFormat/>
    <w:uiPriority w:val="9"/>
    <w:rPr>
      <w:rFonts w:asciiTheme="majorHAnsi" w:hAnsiTheme="majorHAnsi" w:eastAsiaTheme="majorEastAsia" w:cstheme="majorBidi"/>
      <w:color w:val="376092" w:themeColor="accent1" w:themeShade="BF"/>
      <w:sz w:val="32"/>
      <w:szCs w:val="32"/>
    </w:rPr>
  </w:style>
  <w:style w:type="character" w:customStyle="1" w:styleId="22">
    <w:name w:val="标题 4 字符"/>
    <w:basedOn w:val="18"/>
    <w:link w:val="5"/>
    <w:semiHidden/>
    <w:qFormat/>
    <w:uiPriority w:val="9"/>
    <w:rPr>
      <w:rFonts w:cstheme="majorBidi"/>
      <w:color w:val="376092" w:themeColor="accent1" w:themeShade="BF"/>
      <w:sz w:val="28"/>
      <w:szCs w:val="28"/>
    </w:rPr>
  </w:style>
  <w:style w:type="character" w:customStyle="1" w:styleId="23">
    <w:name w:val="标题 5 字符"/>
    <w:basedOn w:val="18"/>
    <w:link w:val="6"/>
    <w:semiHidden/>
    <w:qFormat/>
    <w:uiPriority w:val="9"/>
    <w:rPr>
      <w:rFonts w:cstheme="majorBidi"/>
      <w:color w:val="376092" w:themeColor="accent1" w:themeShade="BF"/>
      <w:sz w:val="24"/>
      <w:szCs w:val="24"/>
    </w:rPr>
  </w:style>
  <w:style w:type="character" w:customStyle="1" w:styleId="24">
    <w:name w:val="标题 6 字符"/>
    <w:basedOn w:val="18"/>
    <w:link w:val="7"/>
    <w:semiHidden/>
    <w:qFormat/>
    <w:uiPriority w:val="9"/>
    <w:rPr>
      <w:rFonts w:cstheme="majorBidi"/>
      <w:b/>
      <w:bCs/>
      <w:color w:val="376092" w:themeColor="accent1" w:themeShade="BF"/>
    </w:rPr>
  </w:style>
  <w:style w:type="character" w:customStyle="1" w:styleId="25">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8"/>
    <w:qFormat/>
    <w:uiPriority w:val="21"/>
    <w:rPr>
      <w:i/>
      <w:iCs/>
      <w:color w:val="376092" w:themeColor="accent1" w:themeShade="BF"/>
    </w:rPr>
  </w:style>
  <w:style w:type="paragraph" w:styleId="34">
    <w:name w:val="Intense Quote"/>
    <w:basedOn w:val="1"/>
    <w:next w:val="1"/>
    <w:link w:val="35"/>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5">
    <w:name w:val="明显引用 字符"/>
    <w:basedOn w:val="18"/>
    <w:link w:val="34"/>
    <w:qFormat/>
    <w:uiPriority w:val="30"/>
    <w:rPr>
      <w:i/>
      <w:iCs/>
      <w:color w:val="376092" w:themeColor="accent1" w:themeShade="BF"/>
    </w:rPr>
  </w:style>
  <w:style w:type="character" w:customStyle="1" w:styleId="36">
    <w:name w:val="Intense Reference"/>
    <w:basedOn w:val="18"/>
    <w:qFormat/>
    <w:uiPriority w:val="32"/>
    <w:rPr>
      <w:b/>
      <w:bCs/>
      <w:smallCaps/>
      <w:color w:val="376092" w:themeColor="accent1" w:themeShade="BF"/>
      <w:spacing w:val="5"/>
    </w:rPr>
  </w:style>
  <w:style w:type="table" w:customStyle="1" w:styleId="37">
    <w:name w:val="TableGrid"/>
    <w:basedOn w:val="16"/>
    <w:qFormat/>
    <w:uiPriority w:val="0"/>
    <w:rPr>
      <w:rFonts w:hint="eastAsia" w:ascii="等线" w:hAnsi="等线" w:eastAsia="等线" w:cs="等线"/>
      <w:sz w:val="22"/>
      <w:szCs w:val="24"/>
    </w:rPr>
    <w:tblPr>
      <w:tblCellMar>
        <w:left w:w="0" w:type="dxa"/>
        <w:right w:w="0" w:type="dxa"/>
      </w:tblCellMar>
    </w:tblPr>
  </w:style>
  <w:style w:type="character" w:customStyle="1" w:styleId="38">
    <w:name w:val="页眉 字符"/>
    <w:basedOn w:val="18"/>
    <w:link w:val="12"/>
    <w:qFormat/>
    <w:uiPriority w:val="99"/>
    <w:rPr>
      <w:sz w:val="18"/>
      <w:szCs w:val="18"/>
    </w:rPr>
  </w:style>
  <w:style w:type="character" w:customStyle="1" w:styleId="39">
    <w:name w:val="页脚 字符"/>
    <w:basedOn w:val="18"/>
    <w:link w:val="11"/>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4039</Words>
  <Characters>4052</Characters>
  <Lines>28</Lines>
  <Paragraphs>7</Paragraphs>
  <TotalTime>92</TotalTime>
  <ScaleCrop>false</ScaleCrop>
  <LinksUpToDate>false</LinksUpToDate>
  <CharactersWithSpaces>4181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2025-07-04T02:34:00Z</dcterms:created>
  <dc:creator>x l</dc:creator>
  <cp:lastModifiedBy>护花天师</cp:lastModifiedBy>
  <dcterms:modified xsi:type="dcterms:W3CDTF">2025-07-18T02:03:16Z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eyJoZGlkIjoiZmI0OTRlNWM4YzY4M2RkNThmNWI4ZDVjN2EzNGE5OTkiLCJ1c2VySWQiOiIzMzczNjY3OTYifQ==</vt:lpwstr>
  </property>
  <property fmtid="{D5CDD505-2E9C-101B-9397-08002B2CF9AE}" pid="3" name="KSOProductBuildVer">
    <vt:lpwstr>2052-12.1.0.21915</vt:lpwstr>
  </property>
  <property fmtid="{D5CDD505-2E9C-101B-9397-08002B2CF9AE}" pid="4" name="ICV">
    <vt:lpwstr>B6B57C372DBC4807BD724FAA8A9AF946_12</vt:lpwstr>
  </property>
</Properties>
</file>