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3"/>
      </w:tblGrid>
      <w:tr w14:paraId="75F3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tcPr>
          <w:p w14:paraId="1F4D9218">
            <w:pPr>
              <w:widowControl/>
              <w:spacing w:after="32" w:line="256" w:lineRule="auto"/>
              <w:ind w:left="311"/>
              <w:jc w:val="center"/>
              <w:rPr>
                <w:rFonts w:hint="eastAsia" w:ascii="仿宋" w:hAnsi="仿宋" w:eastAsia="仿宋" w:cs="仿宋"/>
                <w:b/>
                <w:bCs/>
                <w:sz w:val="36"/>
                <w:szCs w:val="36"/>
              </w:rPr>
            </w:pPr>
            <w:r>
              <w:rPr>
                <w:rFonts w:hint="eastAsia" w:ascii="仿宋" w:hAnsi="仿宋" w:eastAsia="仿宋" w:cs="仿宋"/>
                <w:b/>
                <w:bCs/>
                <w:color w:val="000000"/>
                <w:sz w:val="36"/>
                <w:szCs w:val="36"/>
                <w:lang w:val="en-US" w:eastAsia="zh-CN" w:bidi="ar"/>
              </w:rPr>
              <w:t>新野县农业农村局</w:t>
            </w:r>
            <w:r>
              <w:rPr>
                <w:rFonts w:hint="eastAsia" w:ascii="仿宋" w:hAnsi="仿宋" w:eastAsia="仿宋" w:cs="仿宋"/>
                <w:b/>
                <w:bCs/>
                <w:color w:val="000000"/>
                <w:sz w:val="36"/>
                <w:szCs w:val="36"/>
                <w:lang w:bidi="ar"/>
              </w:rPr>
              <w:t>涉企行政检查公示专栏</w:t>
            </w:r>
          </w:p>
          <w:p w14:paraId="6E5BACEF">
            <w:pPr>
              <w:widowControl/>
              <w:spacing w:line="256" w:lineRule="auto"/>
              <w:ind w:right="289"/>
              <w:jc w:val="center"/>
              <w:rPr>
                <w:rFonts w:hint="eastAsia" w:ascii="仿宋" w:hAnsi="仿宋" w:eastAsia="仿宋" w:cs="仿宋"/>
                <w:b/>
                <w:bCs/>
                <w:sz w:val="36"/>
                <w:szCs w:val="36"/>
                <w:lang w:val="en-US" w:eastAsia="zh-CN"/>
              </w:rPr>
            </w:pPr>
            <w:r>
              <w:rPr>
                <w:rFonts w:hint="eastAsia" w:ascii="仿宋" w:hAnsi="仿宋" w:eastAsia="仿宋" w:cs="仿宋"/>
                <w:b/>
                <w:bCs/>
                <w:color w:val="000000"/>
                <w:sz w:val="36"/>
                <w:szCs w:val="36"/>
                <w:lang w:bidi="ar"/>
              </w:rPr>
              <w:t>检查</w:t>
            </w:r>
            <w:r>
              <w:rPr>
                <w:rFonts w:hint="eastAsia" w:ascii="仿宋" w:hAnsi="仿宋" w:eastAsia="仿宋" w:cs="仿宋"/>
                <w:b/>
                <w:bCs/>
                <w:color w:val="000000"/>
                <w:sz w:val="36"/>
                <w:szCs w:val="36"/>
                <w:lang w:val="en-US" w:eastAsia="zh-CN" w:bidi="ar"/>
              </w:rPr>
              <w:t>标准</w:t>
            </w:r>
          </w:p>
          <w:tbl>
            <w:tblPr>
              <w:tblStyle w:val="36"/>
              <w:tblW w:w="0" w:type="dxa"/>
              <w:tblInd w:w="641" w:type="dxa"/>
              <w:tblLayout w:type="autofit"/>
              <w:tblCellMar>
                <w:top w:w="11" w:type="dxa"/>
                <w:left w:w="74" w:type="dxa"/>
                <w:bottom w:w="0" w:type="dxa"/>
                <w:right w:w="91" w:type="dxa"/>
              </w:tblCellMar>
            </w:tblPr>
            <w:tblGrid>
              <w:gridCol w:w="476"/>
              <w:gridCol w:w="5311"/>
              <w:gridCol w:w="6619"/>
            </w:tblGrid>
            <w:tr w14:paraId="44F6CF20">
              <w:tblPrEx>
                <w:tblCellMar>
                  <w:top w:w="11" w:type="dxa"/>
                  <w:left w:w="74" w:type="dxa"/>
                  <w:bottom w:w="0" w:type="dxa"/>
                  <w:right w:w="91" w:type="dxa"/>
                </w:tblCellMar>
              </w:tblPrEx>
              <w:trPr>
                <w:trHeight w:val="558"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B99BE68">
                  <w:pPr>
                    <w:widowControl/>
                    <w:spacing w:line="256" w:lineRule="auto"/>
                    <w:jc w:val="left"/>
                    <w:rPr>
                      <w:rFonts w:hint="default"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tcPr>
                <w:p w14:paraId="53DBF8EC">
                  <w:pPr>
                    <w:widowControl/>
                    <w:spacing w:line="256" w:lineRule="auto"/>
                    <w:ind w:left="355" w:hanging="355"/>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lang w:bidi="ar"/>
                    </w:rPr>
                    <w:t>行政检查事项名称</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AD93C9">
                  <w:pPr>
                    <w:widowControl/>
                    <w:spacing w:line="256" w:lineRule="auto"/>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bidi="ar"/>
                    </w:rPr>
                    <w:t>检查</w:t>
                  </w:r>
                  <w:r>
                    <w:rPr>
                      <w:rFonts w:hint="eastAsia" w:ascii="仿宋" w:hAnsi="仿宋" w:eastAsia="仿宋" w:cs="仿宋"/>
                      <w:b/>
                      <w:bCs/>
                      <w:color w:val="auto"/>
                      <w:sz w:val="30"/>
                      <w:szCs w:val="30"/>
                      <w:lang w:val="en-US" w:eastAsia="zh-CN" w:bidi="ar"/>
                    </w:rPr>
                    <w:t>标准</w:t>
                  </w:r>
                </w:p>
              </w:tc>
            </w:tr>
            <w:tr w14:paraId="31709B8C">
              <w:tblPrEx>
                <w:tblCellMar>
                  <w:top w:w="11" w:type="dxa"/>
                  <w:left w:w="74" w:type="dxa"/>
                  <w:bottom w:w="0" w:type="dxa"/>
                  <w:right w:w="91" w:type="dxa"/>
                </w:tblCellMar>
              </w:tblPrEx>
              <w:trPr>
                <w:trHeight w:val="525"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32B6809A">
                  <w:pPr>
                    <w:pStyle w:val="31"/>
                    <w:widowControl/>
                    <w:numPr>
                      <w:ilvl w:val="0"/>
                      <w:numId w:val="1"/>
                    </w:numPr>
                    <w:spacing w:line="256" w:lineRule="auto"/>
                    <w:jc w:val="left"/>
                    <w:rPr>
                      <w:rFonts w:hint="default"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57B340">
                  <w:pPr>
                    <w:keepNext w:val="0"/>
                    <w:keepLines w:val="0"/>
                    <w:widowControl/>
                    <w:suppressLineNumbers w:val="0"/>
                    <w:jc w:val="left"/>
                    <w:textAlignment w:val="center"/>
                    <w:rPr>
                      <w:rFonts w:hint="eastAsia" w:ascii="仿宋" w:hAnsi="仿宋" w:eastAsia="仿宋" w:cs="仿宋"/>
                      <w:color w:val="auto"/>
                      <w:sz w:val="30"/>
                      <w:szCs w:val="30"/>
                    </w:rPr>
                  </w:pPr>
                  <w:r>
                    <w:rPr>
                      <w:rFonts w:hint="eastAsia" w:ascii="仿宋" w:hAnsi="仿宋" w:eastAsia="仿宋" w:cs="仿宋"/>
                      <w:i w:val="0"/>
                      <w:iCs w:val="0"/>
                      <w:color w:val="auto"/>
                      <w:kern w:val="0"/>
                      <w:sz w:val="30"/>
                      <w:szCs w:val="30"/>
                      <w:u w:val="none"/>
                      <w:lang w:val="en-US" w:eastAsia="zh-CN" w:bidi="ar"/>
                    </w:rPr>
                    <w:t>禽畜养殖场所喂养饲料的行政检查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6CE48380">
                  <w:pPr>
                    <w:spacing w:beforeLines="0" w:afterLines="0"/>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中华人民共和国畜牧法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饲料和饲料添加剂管理条例》、《饲料和饲料添加剂生产许可管理办法》、《新饲料和新饲料添加剂管理办法》、《进口饲料和饲料添加剂登记管理办法》、《饲料添加剂产品批准文号管理办法》、《饲料质量安全管理规范》、《饲料添加剂安全使用规范》、《饲料原料目录》、《饲料添加剂品种目录》、《饲料生产企业许可条件》、《混合型饲料添加剂生产企业许可条件》、《饲料卫生标准》</w:t>
                  </w:r>
                </w:p>
              </w:tc>
            </w:tr>
            <w:tr w14:paraId="1633C735">
              <w:tblPrEx>
                <w:tblCellMar>
                  <w:top w:w="11" w:type="dxa"/>
                  <w:left w:w="74" w:type="dxa"/>
                  <w:bottom w:w="0" w:type="dxa"/>
                  <w:right w:w="91" w:type="dxa"/>
                </w:tblCellMar>
              </w:tblPrEx>
              <w:trPr>
                <w:trHeight w:val="54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9DDF2ED">
                  <w:pPr>
                    <w:pStyle w:val="31"/>
                    <w:widowControl/>
                    <w:numPr>
                      <w:ilvl w:val="0"/>
                      <w:numId w:val="1"/>
                    </w:numPr>
                    <w:spacing w:line="256" w:lineRule="auto"/>
                    <w:jc w:val="left"/>
                    <w:rPr>
                      <w:rFonts w:hint="default"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CF47D1">
                  <w:pPr>
                    <w:keepNext w:val="0"/>
                    <w:keepLines w:val="0"/>
                    <w:widowControl/>
                    <w:suppressLineNumbers w:val="0"/>
                    <w:jc w:val="left"/>
                    <w:textAlignment w:val="center"/>
                    <w:rPr>
                      <w:rFonts w:hint="eastAsia" w:ascii="仿宋" w:hAnsi="仿宋" w:eastAsia="仿宋" w:cs="仿宋"/>
                      <w:color w:val="auto"/>
                      <w:sz w:val="30"/>
                      <w:szCs w:val="30"/>
                    </w:rPr>
                  </w:pPr>
                  <w:r>
                    <w:rPr>
                      <w:rFonts w:hint="eastAsia" w:ascii="仿宋" w:hAnsi="仿宋" w:eastAsia="仿宋" w:cs="仿宋"/>
                      <w:i w:val="0"/>
                      <w:iCs w:val="0"/>
                      <w:color w:val="auto"/>
                      <w:kern w:val="0"/>
                      <w:sz w:val="30"/>
                      <w:szCs w:val="30"/>
                      <w:u w:val="none"/>
                      <w:lang w:val="en-US" w:eastAsia="zh-CN" w:bidi="ar"/>
                    </w:rPr>
                    <w:t>对农业机械维修及配件经营的行政检查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5F0BBC82">
                  <w:pPr>
                    <w:spacing w:beforeLines="0" w:afterLines="0"/>
                    <w:jc w:val="left"/>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《农业机械安全监督管理条例》《农业机械维修管理规定》</w:t>
                  </w:r>
                </w:p>
              </w:tc>
            </w:tr>
            <w:tr w14:paraId="1443C447">
              <w:tblPrEx>
                <w:tblCellMar>
                  <w:top w:w="11" w:type="dxa"/>
                  <w:left w:w="74" w:type="dxa"/>
                  <w:bottom w:w="0" w:type="dxa"/>
                  <w:right w:w="91" w:type="dxa"/>
                </w:tblCellMar>
              </w:tblPrEx>
              <w:trPr>
                <w:trHeight w:val="90"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594BB03">
                  <w:pPr>
                    <w:pStyle w:val="31"/>
                    <w:widowControl/>
                    <w:numPr>
                      <w:ilvl w:val="0"/>
                      <w:numId w:val="1"/>
                    </w:numPr>
                    <w:spacing w:line="256" w:lineRule="auto"/>
                    <w:jc w:val="left"/>
                    <w:rPr>
                      <w:rFonts w:hint="default"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C763EE">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对渔业船员及培训机构监督检查的行政检查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67F5C92B">
                  <w:pPr>
                    <w:spacing w:beforeLines="0" w:afterLines="0"/>
                    <w:jc w:val="left"/>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 xml:space="preserve">《中华人民共和国渔业船员管理办法》 《中华人民共和国船员培训监督检查办法》 </w:t>
                  </w:r>
                </w:p>
              </w:tc>
            </w:tr>
            <w:tr w14:paraId="1FC4D5E2">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D87A2A7">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CAC2C6">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对肥料监督检查的行政检查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61CDDD1C">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依据《肥料登记管理办法》、《肥料标识内容和要求》(GB 18382-2021)、《有机肥料》(NY/T525-2021)、《复合肥料》(GB/T 15063-2020)、《农用微生物菌剂》(GB20287-2006 )、《生物有机肥》(NY 884-2012)、《复合微生物肥料》(NY/T 798-2015)、《农用微生物浓缩制剂》(NY/T 3083-2017)和《农用微生物产品标识要求》(NY 885-2004)等进行判定。</w:t>
                  </w:r>
                </w:p>
              </w:tc>
            </w:tr>
            <w:tr w14:paraId="7B1F5A45">
              <w:tblPrEx>
                <w:tblCellMar>
                  <w:top w:w="11" w:type="dxa"/>
                  <w:left w:w="74" w:type="dxa"/>
                  <w:bottom w:w="0" w:type="dxa"/>
                  <w:right w:w="91" w:type="dxa"/>
                </w:tblCellMar>
              </w:tblPrEx>
              <w:trPr>
                <w:trHeight w:val="90" w:hRule="exac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797C6B0">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9E7A2E">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业面源污染防治，推广科学施肥和农药安全使用技术，实施畜禽养殖禁养区和限养区制度，规范和指导畜禽养殖场、养殖小区按照规定收集、存贮、利用和处置畜禽养殖废弃物，规范畜禽养殖抗生素的使用，保护和改善水生态环境涉及农业农村部门职责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6D1AD487">
                  <w:pPr>
                    <w:keepNext w:val="0"/>
                    <w:keepLines w:val="0"/>
                    <w:widowControl/>
                    <w:suppressLineNumbers w:val="0"/>
                    <w:pBdr>
                      <w:top w:val="none" w:color="auto" w:sz="0" w:space="0"/>
                      <w:bottom w:val="none" w:color="auto" w:sz="0" w:space="0"/>
                    </w:pBdr>
                    <w:shd w:val="clear" w:fill="FFFFFF"/>
                    <w:bidi w:val="0"/>
                    <w:spacing w:before="0" w:beforeAutospacing="0" w:after="300" w:afterAutospacing="0" w:line="360" w:lineRule="atLeast"/>
                    <w:ind w:left="0" w:right="0" w:firstLine="0"/>
                    <w:jc w:val="left"/>
                    <w:rPr>
                      <w:rFonts w:hint="eastAsia" w:ascii="仿宋" w:hAnsi="仿宋" w:eastAsia="仿宋" w:cs="仿宋"/>
                      <w:b w:val="0"/>
                      <w:bCs w:val="0"/>
                      <w:i w:val="0"/>
                      <w:iCs w:val="0"/>
                      <w:caps w:val="0"/>
                      <w:color w:val="auto"/>
                      <w:spacing w:val="0"/>
                      <w:sz w:val="30"/>
                      <w:szCs w:val="30"/>
                    </w:rPr>
                  </w:pPr>
                  <w:r>
                    <w:rPr>
                      <w:rFonts w:hint="eastAsia" w:ascii="仿宋" w:hAnsi="仿宋" w:eastAsia="仿宋" w:cs="仿宋"/>
                      <w:color w:val="auto"/>
                      <w:sz w:val="30"/>
                      <w:szCs w:val="30"/>
                      <w:lang w:val="en-US" w:eastAsia="zh-CN"/>
                    </w:rPr>
                    <w:t>《中华人民共和国环境保护法》和《中华人民共和国农业法》。《农药管理条例》和《肥料登记管理办法》。《农产品质量安全法》《畜禽规模养殖污染防治条例》。《水污染防治法》《固体废物污染环境防治法》。《兽药管理条例》和《饲料和饲料添加剂管理条例》。</w:t>
                  </w:r>
                </w:p>
                <w:p w14:paraId="4AD28962">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049D968E">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3D8E8581">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040E298C">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52B7F372">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570E31F5">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6CADEF31">
                  <w:pPr>
                    <w:keepNext w:val="0"/>
                    <w:keepLines w:val="0"/>
                    <w:widowControl/>
                    <w:suppressLineNumbers w:val="0"/>
                    <w:spacing w:before="0" w:beforeAutospacing="0" w:after="300" w:afterAutospacing="0"/>
                    <w:ind w:left="0" w:right="0"/>
                    <w:jc w:val="left"/>
                    <w:rPr>
                      <w:rFonts w:hint="eastAsia" w:ascii="仿宋" w:hAnsi="仿宋" w:eastAsia="仿宋" w:cs="仿宋"/>
                      <w:b/>
                      <w:bCs/>
                      <w:color w:val="auto"/>
                      <w:sz w:val="30"/>
                      <w:szCs w:val="30"/>
                    </w:rPr>
                  </w:pPr>
                </w:p>
                <w:p w14:paraId="3B23F72A">
                  <w:pPr>
                    <w:spacing w:beforeLines="0" w:afterLines="0"/>
                    <w:jc w:val="left"/>
                    <w:rPr>
                      <w:rFonts w:hint="eastAsia" w:ascii="仿宋" w:hAnsi="仿宋" w:eastAsia="仿宋" w:cs="仿宋"/>
                      <w:b/>
                      <w:bCs/>
                      <w:color w:val="auto"/>
                      <w:sz w:val="30"/>
                      <w:szCs w:val="30"/>
                    </w:rPr>
                  </w:pPr>
                </w:p>
              </w:tc>
            </w:tr>
            <w:tr w14:paraId="51F29F26">
              <w:tblPrEx>
                <w:tblCellMar>
                  <w:top w:w="11" w:type="dxa"/>
                  <w:left w:w="74" w:type="dxa"/>
                  <w:bottom w:w="0" w:type="dxa"/>
                  <w:right w:w="91" w:type="dxa"/>
                </w:tblCellMar>
              </w:tblPrEx>
              <w:trPr>
                <w:trHeight w:val="1909"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306090D">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3A55C5">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对水生生物资源的保护，管理水生生物的引进和放生活动的行政检查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1A54AB1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rPr>
                      <w:rFonts w:hint="eastAsia" w:ascii="仿宋" w:hAnsi="仿宋" w:eastAsia="仿宋" w:cs="仿宋"/>
                      <w:color w:val="auto"/>
                      <w:sz w:val="30"/>
                      <w:szCs w:val="30"/>
                    </w:rPr>
                  </w:pPr>
                  <w:r>
                    <w:rPr>
                      <w:rFonts w:hint="eastAsia" w:ascii="仿宋" w:hAnsi="仿宋" w:eastAsia="仿宋" w:cs="仿宋"/>
                      <w:i w:val="0"/>
                      <w:iCs w:val="0"/>
                      <w:caps w:val="0"/>
                      <w:color w:val="auto"/>
                      <w:spacing w:val="0"/>
                      <w:sz w:val="30"/>
                      <w:szCs w:val="30"/>
                      <w:shd w:val="clear" w:fill="FFFFFF"/>
                    </w:rPr>
                    <w:t>《中华人民共和国水生野生动物保护实施条例》</w:t>
                  </w:r>
                  <w:r>
                    <w:rPr>
                      <w:rFonts w:hint="eastAsia" w:ascii="仿宋" w:hAnsi="仿宋" w:eastAsia="仿宋" w:cs="仿宋"/>
                      <w:i w:val="0"/>
                      <w:iCs w:val="0"/>
                      <w:caps w:val="0"/>
                      <w:color w:val="auto"/>
                      <w:spacing w:val="0"/>
                      <w:sz w:val="30"/>
                      <w:szCs w:val="30"/>
                      <w:shd w:val="clear" w:fill="FFFFFF"/>
                      <w:lang w:val="en-US" w:eastAsia="zh-CN"/>
                    </w:rPr>
                    <w:t xml:space="preserve"> </w:t>
                  </w:r>
                  <w:r>
                    <w:rPr>
                      <w:rFonts w:hint="eastAsia" w:ascii="仿宋" w:hAnsi="仿宋" w:eastAsia="仿宋" w:cs="仿宋"/>
                      <w:i w:val="0"/>
                      <w:iCs w:val="0"/>
                      <w:caps w:val="0"/>
                      <w:color w:val="auto"/>
                      <w:spacing w:val="0"/>
                      <w:sz w:val="30"/>
                      <w:szCs w:val="30"/>
                      <w:shd w:val="clear" w:fill="FFFFFF"/>
                    </w:rPr>
                    <w:t> ‌《中华人民共和国长江保护法》</w:t>
                  </w:r>
                  <w:r>
                    <w:rPr>
                      <w:rFonts w:hint="eastAsia" w:ascii="仿宋" w:hAnsi="仿宋" w:eastAsia="仿宋" w:cs="仿宋"/>
                      <w:i w:val="0"/>
                      <w:iCs w:val="0"/>
                      <w:caps w:val="0"/>
                      <w:color w:val="auto"/>
                      <w:spacing w:val="0"/>
                      <w:sz w:val="30"/>
                      <w:szCs w:val="30"/>
                      <w:shd w:val="clear" w:fill="FFFFFF"/>
                      <w:lang w:val="en-US" w:eastAsia="zh-CN"/>
                    </w:rPr>
                    <w:t xml:space="preserve"> </w:t>
                  </w:r>
                  <w:r>
                    <w:rPr>
                      <w:rFonts w:hint="eastAsia" w:ascii="仿宋" w:hAnsi="仿宋" w:eastAsia="仿宋" w:cs="仿宋"/>
                      <w:i w:val="0"/>
                      <w:iCs w:val="0"/>
                      <w:caps w:val="0"/>
                      <w:color w:val="auto"/>
                      <w:spacing w:val="0"/>
                      <w:sz w:val="30"/>
                      <w:szCs w:val="30"/>
                      <w:shd w:val="clear" w:fill="FFFFFF"/>
                    </w:rPr>
                    <w:t>《水生生物增殖放流管理规定》 </w:t>
                  </w:r>
                </w:p>
                <w:p w14:paraId="26433B16">
                  <w:pPr>
                    <w:keepNext w:val="0"/>
                    <w:keepLines w:val="0"/>
                    <w:widowControl/>
                    <w:numPr>
                      <w:ilvl w:val="0"/>
                      <w:numId w:val="2"/>
                    </w:numPr>
                    <w:suppressLineNumbers w:val="0"/>
                    <w:pBdr>
                      <w:top w:val="none" w:color="auto" w:sz="0" w:space="0"/>
                      <w:bottom w:val="none" w:color="auto" w:sz="0" w:space="0"/>
                      <w:right w:val="none" w:color="auto" w:sz="0" w:space="0"/>
                    </w:pBdr>
                    <w:spacing w:before="0" w:beforeAutospacing="1" w:after="0" w:afterAutospacing="1"/>
                    <w:ind w:left="0" w:right="0" w:hanging="360"/>
                    <w:rPr>
                      <w:rFonts w:hint="eastAsia" w:ascii="仿宋" w:hAnsi="仿宋" w:eastAsia="仿宋" w:cs="仿宋"/>
                      <w:color w:val="auto"/>
                      <w:sz w:val="30"/>
                      <w:szCs w:val="30"/>
                    </w:rPr>
                  </w:pPr>
                </w:p>
                <w:p w14:paraId="301C6629">
                  <w:pPr>
                    <w:spacing w:beforeLines="0" w:afterLines="0"/>
                    <w:jc w:val="left"/>
                    <w:rPr>
                      <w:rFonts w:hint="eastAsia" w:ascii="仿宋" w:hAnsi="仿宋" w:eastAsia="仿宋" w:cs="仿宋"/>
                      <w:color w:val="auto"/>
                      <w:sz w:val="30"/>
                      <w:szCs w:val="30"/>
                    </w:rPr>
                  </w:pPr>
                </w:p>
              </w:tc>
            </w:tr>
            <w:tr w14:paraId="3EB3B2EB">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640C0DBC">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A5A0DE">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 xml:space="preserve">禁止露天焚烧秸秆的行政检查   </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25AC2DA4">
                  <w:pPr>
                    <w:spacing w:beforeLines="0" w:afterLines="0"/>
                    <w:jc w:val="left"/>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南阳市大气污染防治条例</w:t>
                  </w:r>
                </w:p>
              </w:tc>
            </w:tr>
            <w:tr w14:paraId="36592704">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7CF296FE">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05473E">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对农业植物检疫的行政检查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0C5C377D">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《植物检疫条例》、《植物检疫条例实施细则（农业部分）》等。</w:t>
                  </w:r>
                </w:p>
              </w:tc>
            </w:tr>
            <w:tr w14:paraId="3CDAAEA3">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026328E">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EE2DF0">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对县级以上人民政府畜牧兽医主管部门负责奶畜饲养以及生鲜乳生产环节、收购环节的监督管理的行政检查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4330EB45">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《乳品质量安全监督管理条例》、《生鲜乳生产收购管理办法》、《食品安全国家标准 生乳（GB19301-2010》等。</w:t>
                  </w:r>
                </w:p>
              </w:tc>
            </w:tr>
            <w:tr w14:paraId="2CBEF61E">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8AAF98A">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BF4CA5">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对生鲜乳质量安全监督检查的行政检查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1EBABE90">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《乳品质量安全监督管理条例》、《生鲜乳生产收购管理办法》、《食品安全国家标准 生乳（GB19301-2010》等。</w:t>
                  </w:r>
                </w:p>
              </w:tc>
            </w:tr>
            <w:tr w14:paraId="67332FCA">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3B4B2B6">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24701F">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对饲料、饲料添加剂监督抽查的行政检查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6DDF7810">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饲料和饲料添加剂管理条例》、《饲料和饲料添加剂生产许可管理办法》、《新饲料和新饲料添加剂管理办法》、《进口饲料和饲料添加剂登记管理办法》、《饲料添加剂产品批准文号管理办法》、《饲料质量安全管理规范》、《宠物饲料管理办法》、《饲料添加剂安全使用规范》、《饲料原料目录》、《饲料添加剂品种目录》、《饲料生产企业许可条件》、《混合型饲料添加剂生产企业许可条件》、《宠物饲料生产企业许可条件》、《饲料卫生标准》、《宠物饲料卫生规定》、关于养殖者自行配制饲料的有关规定、饲料标签标准、《宠物饲料标签规定》、饲料添加剂产品质量标准、农业农村部公告发布的新饲料和新饲料添加剂质量标准、进口登记过程中复核检测确定的质量标准、允许在商品饲料中添加使用的兽药等。</w:t>
                  </w:r>
                </w:p>
              </w:tc>
            </w:tr>
            <w:tr w14:paraId="143B2915">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EEFDE18">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B7A5E0">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对农业转基因生物安全监督检查的行政检查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7A5DAC6B">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《农业转基因生物安全管理条例》《农产品质量安全监测管理办法》和《食品安全国家标准 食品中农药最大残留限量》、《食品安全国家标准 食品中兽药最大残留限量》等农产品质量安全相关的法律法规和标准。</w:t>
                  </w:r>
                </w:p>
              </w:tc>
            </w:tr>
            <w:tr w14:paraId="3989E407">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356C2F06">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B2CF2C">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对农业机械安全监督管理执法人员在农田、场院等场所进行农业机械安全监督检查的行政检查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5EAF96E4">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《农业机械安全监督管理条例》、《农业机械维修管理规定》等。</w:t>
                  </w:r>
                </w:p>
              </w:tc>
            </w:tr>
            <w:tr w14:paraId="761DE9BC">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6B56CEE1">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31AFDC">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对兽药质量监督抽查的行政检查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1DAA1EBA">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《兽药质量监督抽查检验管理办法》</w:t>
                  </w:r>
                </w:p>
              </w:tc>
            </w:tr>
            <w:tr w14:paraId="3AEA7825">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E3F2A6A">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43F052">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对农药监督管理的行政检查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0310F9D1">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农药管理条例》、《农药生产许可办法》、《农药经营许可管理办法》、《农药标签和说明书管理办法》、《农药生产许可审查细则》、农药产品质量标准、《农药登记试验管理办法》、《农药登记试验单位质量管理规范》等。</w:t>
                  </w:r>
                </w:p>
              </w:tc>
            </w:tr>
            <w:tr w14:paraId="2390350C">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43F1C59">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86280B">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对渔业养殖、捕捞等的行政检查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30B43243">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渔业法》、《中华人民共和国长江保护法》、《中华人民共和国海上交通安全法》、《中华人民共和国海洋环境保护法》、《中华人民共和国水污染防治法》、《中华人民共和国野生动物保护法》等。</w:t>
                  </w:r>
                </w:p>
              </w:tc>
            </w:tr>
            <w:tr w14:paraId="63AF8D33">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C680F7D">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D1FD5">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对饲养动物的单位和个人履行强制免疫义务的情况进行的行政检查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44C51B0D">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《中华人民共和国动物防疫法》</w:t>
                  </w:r>
                </w:p>
              </w:tc>
            </w:tr>
            <w:tr w14:paraId="638FF034">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3A78FC4">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F5ABE4">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对种子生产经营场所进行的行政检查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2318858E">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《中华人民共和国种子法》</w:t>
                  </w:r>
                </w:p>
              </w:tc>
            </w:tr>
            <w:tr w14:paraId="46F13433">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39E6ABE">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5079FE">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对农产品质量安全监督检查的行政检查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783C397A">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《中华人民共和国农产品质量安全法》</w:t>
                  </w:r>
                </w:p>
              </w:tc>
            </w:tr>
            <w:tr w14:paraId="4D8543E0">
              <w:tblPrEx>
                <w:tblCellMar>
                  <w:top w:w="11" w:type="dxa"/>
                  <w:left w:w="74" w:type="dxa"/>
                  <w:bottom w:w="0" w:type="dxa"/>
                  <w:right w:w="91" w:type="dxa"/>
                </w:tblCellMar>
              </w:tblPrEx>
              <w:trPr>
                <w:trHeight w:val="589" w:hRule="exac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ECAB407">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B94A2F">
                  <w:pPr>
                    <w:keepNext w:val="0"/>
                    <w:keepLines w:val="0"/>
                    <w:widowControl/>
                    <w:suppressLineNumbers w:val="0"/>
                    <w:ind w:firstLine="600" w:firstLineChars="20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对畜牧业的监督管理</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7BD3D0C8">
                  <w:pPr>
                    <w:spacing w:beforeLines="0" w:afterLines="0"/>
                    <w:ind w:firstLine="600" w:firstLineChars="200"/>
                    <w:jc w:val="left"/>
                    <w:rPr>
                      <w:rFonts w:hint="eastAsia" w:ascii="仿宋" w:hAnsi="仿宋" w:eastAsia="仿宋" w:cs="仿宋"/>
                      <w:color w:val="auto"/>
                      <w:sz w:val="30"/>
                      <w:szCs w:val="30"/>
                    </w:rPr>
                  </w:pPr>
                  <w:bookmarkStart w:id="0" w:name="OLE_LINK2"/>
                  <w:r>
                    <w:rPr>
                      <w:rFonts w:hint="eastAsia" w:ascii="仿宋" w:hAnsi="仿宋" w:eastAsia="仿宋" w:cs="仿宋"/>
                      <w:color w:val="auto"/>
                      <w:sz w:val="30"/>
                      <w:szCs w:val="30"/>
                    </w:rPr>
                    <w:t>《中华人民共和国畜牧法》</w:t>
                  </w:r>
                  <w:bookmarkEnd w:id="0"/>
                </w:p>
                <w:p w14:paraId="6EBA8128">
                  <w:pPr>
                    <w:spacing w:beforeLines="0" w:afterLines="0"/>
                    <w:jc w:val="left"/>
                    <w:rPr>
                      <w:rFonts w:hint="eastAsia" w:ascii="仿宋" w:hAnsi="仿宋" w:eastAsia="仿宋" w:cs="仿宋"/>
                      <w:color w:val="auto"/>
                      <w:sz w:val="30"/>
                      <w:szCs w:val="30"/>
                    </w:rPr>
                  </w:pPr>
                </w:p>
              </w:tc>
            </w:tr>
            <w:tr w14:paraId="7EF32D3A">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359C010F">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BDC2AB">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对畜禽饲养环境、种畜禽质量、畜禽交易与运输、畜禽屠宰以及饲料、饲料添加剂、兽药等投入品的生产、经营、使用的监督管理的行政检查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346E152E">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畜牧法》、《生猪屠宰管理条例》、《生猪屠宰质量管理规范》、《生猪定点屠宰厂（场）设置审查规定》、《生猪屠宰厂（场）监督检查规范》、《生猪屠宰厂（场）飞行检查办法》、《屠宰厂企业畜禽及其产品抽样操作规范》、（NY/T3227-2018）等，生猪屠宰质量安全风险监测结果、国务院农业农村主管部门的相关规定等。</w:t>
                  </w:r>
                </w:p>
              </w:tc>
            </w:tr>
            <w:tr w14:paraId="1D5F6DBD">
              <w:tblPrEx>
                <w:tblCellMar>
                  <w:top w:w="11" w:type="dxa"/>
                  <w:left w:w="74" w:type="dxa"/>
                  <w:bottom w:w="0" w:type="dxa"/>
                  <w:right w:w="91"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6AA7228B">
                  <w:pPr>
                    <w:pStyle w:val="31"/>
                    <w:widowControl/>
                    <w:numPr>
                      <w:ilvl w:val="0"/>
                      <w:numId w:val="1"/>
                    </w:numPr>
                    <w:spacing w:line="256" w:lineRule="auto"/>
                    <w:jc w:val="left"/>
                    <w:rPr>
                      <w:rFonts w:hint="eastAsia" w:ascii="Calibri" w:hAnsi="Calibri" w:eastAsia="宋体" w:cs="Times New Roman"/>
                      <w:color w:val="auto"/>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01548D5">
                  <w:pPr>
                    <w:keepNext w:val="0"/>
                    <w:keepLines w:val="0"/>
                    <w:widowControl/>
                    <w:suppressLineNumbers w:val="0"/>
                    <w:jc w:val="left"/>
                    <w:textAlignment w:val="center"/>
                    <w:rPr>
                      <w:rFonts w:hint="eastAsia" w:ascii="仿宋" w:hAnsi="仿宋" w:eastAsia="仿宋" w:cs="仿宋"/>
                      <w:color w:val="auto"/>
                      <w:sz w:val="30"/>
                      <w:szCs w:val="30"/>
                    </w:rPr>
                  </w:pPr>
                  <w:r>
                    <w:rPr>
                      <w:rStyle w:val="38"/>
                      <w:rFonts w:hint="eastAsia" w:ascii="仿宋" w:hAnsi="仿宋" w:eastAsia="仿宋" w:cs="仿宋"/>
                      <w:color w:val="auto"/>
                      <w:sz w:val="30"/>
                      <w:szCs w:val="30"/>
                      <w:lang w:val="en-US" w:eastAsia="zh-CN" w:bidi="ar"/>
                    </w:rPr>
                    <w:t>对水生野生动物及制品利用监督检查的行政检查</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1FFA83FF">
                  <w:pPr>
                    <w:spacing w:beforeLines="0" w:afterLines="0"/>
                    <w:jc w:val="left"/>
                    <w:rPr>
                      <w:rFonts w:hint="eastAsia" w:ascii="仿宋" w:hAnsi="仿宋" w:eastAsia="仿宋" w:cs="仿宋"/>
                      <w:color w:val="auto"/>
                      <w:sz w:val="30"/>
                      <w:szCs w:val="30"/>
                    </w:rPr>
                  </w:pPr>
                  <w:r>
                    <w:rPr>
                      <w:rFonts w:hint="eastAsia" w:ascii="仿宋" w:hAnsi="仿宋" w:eastAsia="仿宋" w:cs="仿宋"/>
                      <w:color w:val="auto"/>
                      <w:sz w:val="30"/>
                      <w:szCs w:val="30"/>
                    </w:rPr>
                    <w:t>《中华人民共和国野生动物保护法》、《中华人民共和国水生野生动物保护实施条例》等。</w:t>
                  </w:r>
                </w:p>
              </w:tc>
            </w:tr>
          </w:tbl>
          <w:p w14:paraId="05DE8156"/>
          <w:p w14:paraId="62D5C21F">
            <w:pPr>
              <w:widowControl/>
              <w:spacing w:after="32" w:line="256" w:lineRule="auto"/>
              <w:jc w:val="center"/>
              <w:rPr>
                <w:rFonts w:hint="eastAsia" w:ascii="微软雅黑" w:hAnsi="微软雅黑" w:eastAsia="微软雅黑" w:cs="微软雅黑"/>
                <w:color w:val="000000"/>
                <w:sz w:val="26"/>
                <w:szCs w:val="24"/>
                <w:lang w:bidi="ar"/>
              </w:rPr>
            </w:pPr>
          </w:p>
        </w:tc>
      </w:tr>
    </w:tbl>
    <w:p w14:paraId="405D2761">
      <w:pPr>
        <w:widowControl/>
        <w:spacing w:after="32" w:line="256" w:lineRule="auto"/>
        <w:jc w:val="both"/>
      </w:pPr>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ar(--cos-font-famil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89C15"/>
    <w:multiLevelType w:val="multilevel"/>
    <w:tmpl w:val="27989C15"/>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300D2051"/>
    <w:multiLevelType w:val="multilevel"/>
    <w:tmpl w:val="300D205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8"/>
    <w:rsid w:val="00180E2A"/>
    <w:rsid w:val="00220A6D"/>
    <w:rsid w:val="00AB1449"/>
    <w:rsid w:val="00E86B33"/>
    <w:rsid w:val="00FC0838"/>
    <w:rsid w:val="036074F6"/>
    <w:rsid w:val="05445E9A"/>
    <w:rsid w:val="08F00ADC"/>
    <w:rsid w:val="154766C1"/>
    <w:rsid w:val="26027206"/>
    <w:rsid w:val="2C0C135B"/>
    <w:rsid w:val="47A5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rPr>
      <w:sz w:val="24"/>
    </w:rPr>
  </w:style>
  <w:style w:type="paragraph" w:styleId="13">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customStyle="1" w:styleId="18">
    <w:name w:val="标题 1 字符"/>
    <w:basedOn w:val="16"/>
    <w:link w:val="2"/>
    <w:qFormat/>
    <w:uiPriority w:val="9"/>
    <w:rPr>
      <w:rFonts w:asciiTheme="majorHAnsi" w:hAnsiTheme="majorHAnsi" w:eastAsiaTheme="majorEastAsia" w:cstheme="majorBidi"/>
      <w:color w:val="37609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21">
    <w:name w:val="标题 4 字符"/>
    <w:basedOn w:val="16"/>
    <w:link w:val="5"/>
    <w:semiHidden/>
    <w:qFormat/>
    <w:uiPriority w:val="9"/>
    <w:rPr>
      <w:rFonts w:cstheme="majorBidi"/>
      <w:color w:val="376092" w:themeColor="accent1" w:themeShade="BF"/>
      <w:sz w:val="28"/>
      <w:szCs w:val="28"/>
    </w:rPr>
  </w:style>
  <w:style w:type="character" w:customStyle="1" w:styleId="22">
    <w:name w:val="标题 5 字符"/>
    <w:basedOn w:val="16"/>
    <w:link w:val="6"/>
    <w:semiHidden/>
    <w:qFormat/>
    <w:uiPriority w:val="9"/>
    <w:rPr>
      <w:rFonts w:cstheme="majorBidi"/>
      <w:color w:val="376092" w:themeColor="accent1" w:themeShade="BF"/>
      <w:sz w:val="24"/>
      <w:szCs w:val="24"/>
    </w:rPr>
  </w:style>
  <w:style w:type="character" w:customStyle="1" w:styleId="23">
    <w:name w:val="标题 6 字符"/>
    <w:basedOn w:val="16"/>
    <w:link w:val="7"/>
    <w:semiHidden/>
    <w:qFormat/>
    <w:uiPriority w:val="9"/>
    <w:rPr>
      <w:rFonts w:cstheme="majorBidi"/>
      <w:b/>
      <w:bCs/>
      <w:color w:val="37609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376092" w:themeColor="accent1" w:themeShade="BF"/>
    </w:rPr>
  </w:style>
  <w:style w:type="paragraph" w:styleId="33">
    <w:name w:val="Intense Quote"/>
    <w:basedOn w:val="1"/>
    <w:next w:val="1"/>
    <w:link w:val="34"/>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4">
    <w:name w:val="明显引用 字符"/>
    <w:basedOn w:val="16"/>
    <w:link w:val="33"/>
    <w:qFormat/>
    <w:uiPriority w:val="30"/>
    <w:rPr>
      <w:i/>
      <w:iCs/>
      <w:color w:val="376092" w:themeColor="accent1" w:themeShade="BF"/>
    </w:rPr>
  </w:style>
  <w:style w:type="character" w:customStyle="1" w:styleId="35">
    <w:name w:val="Intense Reference"/>
    <w:basedOn w:val="16"/>
    <w:qFormat/>
    <w:uiPriority w:val="32"/>
    <w:rPr>
      <w:b/>
      <w:bCs/>
      <w:smallCaps/>
      <w:color w:val="376092" w:themeColor="accent1" w:themeShade="BF"/>
      <w:spacing w:val="5"/>
    </w:rPr>
  </w:style>
  <w:style w:type="table" w:customStyle="1" w:styleId="36">
    <w:name w:val="TableGrid"/>
    <w:basedOn w:val="14"/>
    <w:qFormat/>
    <w:uiPriority w:val="0"/>
    <w:rPr>
      <w:rFonts w:hint="eastAsia" w:ascii="等线" w:hAnsi="等线" w:eastAsia="等线" w:cs="等线"/>
      <w:sz w:val="22"/>
      <w:szCs w:val="24"/>
    </w:rPr>
    <w:tblPr>
      <w:tblCellMar>
        <w:left w:w="0" w:type="dxa"/>
        <w:right w:w="0" w:type="dxa"/>
      </w:tblCellMar>
    </w:tblPr>
  </w:style>
  <w:style w:type="character" w:customStyle="1" w:styleId="37">
    <w:name w:val="font21"/>
    <w:basedOn w:val="16"/>
    <w:uiPriority w:val="0"/>
    <w:rPr>
      <w:rFonts w:ascii="Segoe UI" w:hAnsi="Segoe UI" w:eastAsia="Segoe UI" w:cs="Segoe UI"/>
      <w:color w:val="223355"/>
      <w:sz w:val="24"/>
      <w:szCs w:val="24"/>
      <w:u w:val="none"/>
    </w:rPr>
  </w:style>
  <w:style w:type="character" w:customStyle="1" w:styleId="38">
    <w:name w:val="font11"/>
    <w:basedOn w:val="16"/>
    <w:uiPriority w:val="0"/>
    <w:rPr>
      <w:rFonts w:hint="eastAsia" w:ascii="宋体" w:hAnsi="宋体" w:eastAsia="宋体" w:cs="宋体"/>
      <w:color w:val="223355"/>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2162</Words>
  <Characters>2294</Characters>
  <Lines>5</Lines>
  <Paragraphs>1</Paragraphs>
  <TotalTime>11</TotalTime>
  <ScaleCrop>false</ScaleCrop>
  <LinksUpToDate>false</LinksUpToDate>
  <CharactersWithSpaces>2315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2025-07-04T02:34:00Z</dcterms:created>
  <dc:creator>x l</dc:creator>
  <cp:lastModifiedBy>护花天师</cp:lastModifiedBy>
  <dcterms:modified xsi:type="dcterms:W3CDTF">2025-07-18T02:03:12Z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eyJoZGlkIjoiZmI0OTRlNWM4YzY4M2RkNThmNWI4ZDVjN2EzNGE5OTkiLCJ1c2VySWQiOiIzMzczNjY3OTYifQ==</vt:lpwstr>
  </property>
  <property fmtid="{D5CDD505-2E9C-101B-9397-08002B2CF9AE}" pid="3" name="KSOProductBuildVer">
    <vt:lpwstr>2052-12.1.0.21915</vt:lpwstr>
  </property>
  <property fmtid="{D5CDD505-2E9C-101B-9397-08002B2CF9AE}" pid="4" name="ICV">
    <vt:lpwstr>36295661EB754C28807111707CED74AE_12</vt:lpwstr>
  </property>
</Properties>
</file>