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22E7B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  <w:r>
        <w:rPr>
          <w:rFonts w:ascii="方正小标宋简体" w:eastAsia="方正小标宋简体" w:hAnsi="方正小标宋简体" w:cs="方正小标宋简体" w:hint="eastAsia"/>
          <w:color w:val="121212"/>
          <w:sz w:val="44"/>
          <w:szCs w:val="44"/>
          <w:shd w:val="clear" w:color="auto" w:fill="FFFFFF"/>
        </w:rPr>
        <w:t>歪子</w:t>
      </w:r>
      <w:r>
        <w:rPr>
          <w:rFonts w:ascii="方正小标宋简体" w:eastAsia="方正小标宋简体" w:hAnsi="方正小标宋简体" w:cs="方正小标宋简体" w:hint="eastAsia"/>
          <w:color w:val="121212"/>
          <w:sz w:val="44"/>
          <w:szCs w:val="44"/>
          <w:shd w:val="clear" w:color="auto" w:fill="FFFFFF"/>
        </w:rPr>
        <w:t>镇综合执法大队在各领域</w:t>
      </w:r>
    </w:p>
    <w:p w14:paraId="565AAFFF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121212"/>
        </w:rPr>
      </w:pPr>
      <w:r>
        <w:rPr>
          <w:rFonts w:ascii="方正小标宋简体" w:eastAsia="方正小标宋简体" w:hAnsi="方正小标宋简体" w:cs="方正小标宋简体" w:hint="eastAsia"/>
          <w:color w:val="121212"/>
          <w:sz w:val="44"/>
          <w:szCs w:val="44"/>
          <w:shd w:val="clear" w:color="auto" w:fill="FFFFFF"/>
        </w:rPr>
        <w:t>的涉企检查标准</w:t>
      </w:r>
    </w:p>
    <w:p w14:paraId="290BD7E5" w14:textId="6D8EC385" w:rsidR="0051400D" w:rsidRDefault="00610409">
      <w:pPr>
        <w:pStyle w:val="a3"/>
        <w:widowControl/>
        <w:shd w:val="clear" w:color="auto" w:fill="FFFFFF"/>
        <w:spacing w:beforeAutospacing="0" w:afterAutospacing="0"/>
        <w:ind w:firstLineChars="200" w:firstLine="600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一</w:t>
      </w:r>
      <w:r>
        <w:rPr>
          <w:rFonts w:ascii="黑体" w:eastAsia="黑体" w:hAnsi="宋体" w:cs="黑体"/>
          <w:color w:val="121212"/>
          <w:sz w:val="30"/>
          <w:szCs w:val="30"/>
          <w:shd w:val="clear" w:color="auto" w:fill="FFFFFF"/>
        </w:rPr>
        <w:t>、</w:t>
      </w: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自然资源和规划领域</w:t>
      </w:r>
    </w:p>
    <w:p w14:paraId="7ACDAEDF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/>
          <w:color w:val="121212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土地使用：检查企业是否按照土地出让合同或划拨决定书的规定使用土地，有无擅自改变土地用途、超面积占地等情况。</w:t>
      </w:r>
    </w:p>
    <w:p w14:paraId="0DF58F18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规划许可：查看企业建设项目是否取得合法的规划许可手续，建设工程是否按照规划许可的内容进行建设，有无违规建设、未批先建等问题。</w:t>
      </w:r>
    </w:p>
    <w:p w14:paraId="4AC95985" w14:textId="6F50AEBA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二</w:t>
      </w: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、城市管理领域</w:t>
      </w:r>
    </w:p>
    <w:p w14:paraId="5CC60192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市容环境卫生：要求企业保持周边环境整洁，无垃圾堆放、污水横流等现象；户外广告、招牌设置符合规定，无破损、违规设置等情况。</w:t>
      </w:r>
    </w:p>
    <w:p w14:paraId="10F54204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市政设施保护：检查企业有无破坏道路、排水、照明等市政设施的行为，是否存在违规挖掘道路、占用市政设施用地等问题。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 xml:space="preserve"> </w:t>
      </w:r>
    </w:p>
    <w:p w14:paraId="18D52AF8" w14:textId="502E5C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三</w:t>
      </w: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、交通运输领域</w:t>
      </w: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 xml:space="preserve"> </w:t>
      </w:r>
    </w:p>
    <w:p w14:paraId="16492F7B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运输车辆：检查车辆是否按规定进行遮盖到位，车辆是否存在抛洒等违法行为。</w:t>
      </w:r>
    </w:p>
    <w:p w14:paraId="34CCB4A3" w14:textId="3C9C7C56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四</w:t>
      </w: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、广电文化旅游领域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 xml:space="preserve"> </w:t>
      </w:r>
    </w:p>
    <w:p w14:paraId="5D9E87F3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文化经营活动：检查文艺表演团体、个体演员是否擅自从事营业性演出经营活动，是否超范围从事营业性演出经营活动。</w:t>
      </w:r>
    </w:p>
    <w:p w14:paraId="3CFA5FCC" w14:textId="77971D1E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lastRenderedPageBreak/>
        <w:t>五</w:t>
      </w:r>
      <w:r>
        <w:rPr>
          <w:rFonts w:ascii="黑体" w:eastAsia="黑体" w:hAnsi="宋体" w:cs="黑体" w:hint="eastAsia"/>
          <w:color w:val="121212"/>
          <w:sz w:val="30"/>
          <w:szCs w:val="30"/>
          <w:shd w:val="clear" w:color="auto" w:fill="FFFFFF"/>
        </w:rPr>
        <w:t>、消防救援领域</w:t>
      </w:r>
    </w:p>
    <w:p w14:paraId="144E63DB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Chars="100" w:firstLine="3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 xml:space="preserve">  1.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消防设施器材：</w:t>
      </w:r>
      <w:bookmarkStart w:id="0" w:name="_GoBack"/>
      <w:bookmarkEnd w:id="0"/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企业应配备符合规定的消防设施和器材，如灭火器、消火栓、自动喷水灭火系统等，并保持完好有效。</w:t>
      </w:r>
    </w:p>
    <w:p w14:paraId="7230FFEA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安全疏散：疏散通道、安全出口应保持畅通，疏散指示标志、应急照明设施应符合要求。</w:t>
      </w:r>
    </w:p>
    <w:p w14:paraId="4B13078C" w14:textId="77777777" w:rsidR="0051400D" w:rsidRDefault="00610409">
      <w:pPr>
        <w:pStyle w:val="a3"/>
        <w:widowControl/>
        <w:shd w:val="clear" w:color="auto" w:fill="FFFFFF"/>
        <w:spacing w:beforeAutospacing="0" w:afterAutospacing="0"/>
        <w:ind w:firstLine="600"/>
        <w:rPr>
          <w:rFonts w:ascii="微软雅黑" w:eastAsia="微软雅黑" w:hAnsi="微软雅黑" w:cs="微软雅黑"/>
          <w:color w:val="121212"/>
        </w:rPr>
      </w:pP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121212"/>
          <w:sz w:val="30"/>
          <w:szCs w:val="30"/>
          <w:shd w:val="clear" w:color="auto" w:fill="FFFFFF"/>
        </w:rPr>
        <w:t>消防安全管理：企业需建立健全消防安全管理制度，落实消防安全责任制，制定灭火和应急疏散预案，并定期组织演练。</w:t>
      </w:r>
    </w:p>
    <w:p w14:paraId="775E8DED" w14:textId="77777777" w:rsidR="0051400D" w:rsidRDefault="0051400D"/>
    <w:sectPr w:rsidR="0051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C72002D-6D8D-4DE7-B381-2E1B653A4C84}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0C94E548-4F5E-4ED2-8EA3-D7BE8A1B8A3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9BC5B0F-AC74-487B-B4D2-CE61DD93617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9D66"/>
    <w:multiLevelType w:val="singleLevel"/>
    <w:tmpl w:val="70379D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0D"/>
    <w:rsid w:val="0051400D"/>
    <w:rsid w:val="00610409"/>
    <w:rsid w:val="024912E2"/>
    <w:rsid w:val="07A62D33"/>
    <w:rsid w:val="3BCE5DD9"/>
    <w:rsid w:val="62C07D1D"/>
    <w:rsid w:val="65C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FtpDown</cp:lastModifiedBy>
  <cp:revision>2</cp:revision>
  <dcterms:created xsi:type="dcterms:W3CDTF">2025-07-07T02:03:00Z</dcterms:created>
  <dcterms:modified xsi:type="dcterms:W3CDTF">2025-07-14T13:06:00Z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eyJoZGlkIjoiNTBlOTcwOTY4ZThlMmE3OGYwOThlOGJmYmNlYjFlMTAiLCJ1c2VySWQiOiI5Njg4NzQ1MjUifQ==</vt:lpwstr>
  </property>
  <property fmtid="{D5CDD505-2E9C-101B-9397-08002B2CF9AE}" pid="4" name="ICV">
    <vt:lpwstr>86419B5F8EB7466B84E1B857F3DC7817_12</vt:lpwstr>
  </property>
</Properties>
</file>