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406D">
      <w:pPr>
        <w:ind w:firstLine="0" w:firstLineChars="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新野县教育体育局</w:t>
      </w:r>
    </w:p>
    <w:p w14:paraId="7D7738C7">
      <w:pPr>
        <w:ind w:firstLine="0" w:firstLineChars="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关于实施</w:t>
      </w:r>
      <w:bookmarkStart w:id="0" w:name="OLE_LINK1"/>
      <w:r>
        <w:rPr>
          <w:rFonts w:hint="eastAsia" w:asciiTheme="minorEastAsia" w:hAnsiTheme="minorEastAsia" w:eastAsiaTheme="minorEastAsia" w:cstheme="minorEastAsia"/>
          <w:b/>
          <w:bCs/>
          <w:sz w:val="44"/>
          <w:szCs w:val="44"/>
          <w:lang w:eastAsia="zh-CN"/>
        </w:rPr>
        <w:t>《</w:t>
      </w:r>
      <w:r>
        <w:rPr>
          <w:rFonts w:hint="eastAsia" w:asciiTheme="minorEastAsia" w:hAnsiTheme="minorEastAsia" w:eastAsiaTheme="minorEastAsia" w:cstheme="minorEastAsia"/>
          <w:b/>
          <w:bCs/>
          <w:sz w:val="44"/>
          <w:szCs w:val="44"/>
          <w:lang w:val="en-US" w:eastAsia="zh-CN"/>
        </w:rPr>
        <w:t>新野县智慧教育建设</w:t>
      </w:r>
      <w:r>
        <w:rPr>
          <w:rFonts w:hint="eastAsia" w:asciiTheme="minorEastAsia" w:hAnsiTheme="minorEastAsia" w:eastAsiaTheme="minorEastAsia" w:cstheme="minorEastAsia"/>
          <w:b/>
          <w:bCs/>
          <w:sz w:val="44"/>
          <w:szCs w:val="44"/>
        </w:rPr>
        <w:t>项目</w:t>
      </w:r>
      <w:r>
        <w:rPr>
          <w:rFonts w:hint="eastAsia" w:asciiTheme="minorEastAsia" w:hAnsiTheme="minorEastAsia" w:eastAsiaTheme="minorEastAsia" w:cstheme="minorEastAsia"/>
          <w:b/>
          <w:bCs/>
          <w:sz w:val="44"/>
          <w:szCs w:val="44"/>
          <w:lang w:eastAsia="zh-CN"/>
        </w:rPr>
        <w:t>》</w:t>
      </w:r>
      <w:bookmarkEnd w:id="0"/>
      <w:r>
        <w:rPr>
          <w:rFonts w:hint="eastAsia" w:asciiTheme="minorEastAsia" w:hAnsiTheme="minorEastAsia" w:eastAsiaTheme="minorEastAsia" w:cstheme="minorEastAsia"/>
          <w:b/>
          <w:bCs/>
          <w:sz w:val="44"/>
          <w:szCs w:val="44"/>
        </w:rPr>
        <w:t>的</w:t>
      </w:r>
    </w:p>
    <w:p w14:paraId="23ACD898">
      <w:pPr>
        <w:ind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起草</w:t>
      </w:r>
      <w:r>
        <w:rPr>
          <w:rFonts w:hint="eastAsia" w:asciiTheme="minorEastAsia" w:hAnsiTheme="minorEastAsia" w:eastAsiaTheme="minorEastAsia" w:cstheme="minorEastAsia"/>
          <w:b/>
          <w:bCs/>
          <w:sz w:val="44"/>
          <w:szCs w:val="44"/>
          <w:lang w:val="en-US" w:eastAsia="zh-CN"/>
        </w:rPr>
        <w:t>说明</w:t>
      </w:r>
    </w:p>
    <w:p w14:paraId="49048236">
      <w:pPr>
        <w:ind w:firstLine="643" w:firstLineChars="200"/>
        <w:rPr>
          <w:rFonts w:hint="eastAsia" w:ascii="仿宋" w:hAnsi="仿宋" w:eastAsia="仿宋" w:cs="仿宋"/>
          <w:b/>
          <w:bCs/>
          <w:sz w:val="32"/>
          <w:szCs w:val="32"/>
          <w:lang w:val="en-US" w:eastAsia="zh-CN"/>
        </w:rPr>
      </w:pPr>
      <w:bookmarkStart w:id="1" w:name="OLE_LINK2"/>
      <w:r>
        <w:rPr>
          <w:rFonts w:hint="eastAsia" w:ascii="仿宋" w:hAnsi="仿宋" w:eastAsia="仿宋" w:cs="仿宋"/>
          <w:b/>
          <w:bCs/>
          <w:sz w:val="32"/>
          <w:szCs w:val="32"/>
          <w:lang w:val="en-US" w:eastAsia="zh-CN"/>
        </w:rPr>
        <w:t>一、起草背景和过程</w:t>
      </w:r>
    </w:p>
    <w:p w14:paraId="5F1E8843">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近年来，国家高度重视教育信息化工作。为深入贯彻</w:t>
      </w:r>
      <w:r>
        <w:rPr>
          <w:rFonts w:hint="eastAsia" w:ascii="仿宋" w:hAnsi="仿宋" w:eastAsia="仿宋" w:cs="仿宋"/>
          <w:b w:val="0"/>
          <w:bCs w:val="0"/>
          <w:sz w:val="32"/>
          <w:szCs w:val="32"/>
          <w:lang w:val="en-US" w:eastAsia="zh-CN"/>
        </w:rPr>
        <w:t>上级</w:t>
      </w:r>
      <w:bookmarkStart w:id="2" w:name="_GoBack"/>
      <w:bookmarkEnd w:id="2"/>
      <w:r>
        <w:rPr>
          <w:rFonts w:hint="eastAsia" w:ascii="仿宋" w:hAnsi="仿宋" w:eastAsia="仿宋" w:cs="仿宋"/>
          <w:b w:val="0"/>
          <w:bCs w:val="0"/>
          <w:sz w:val="32"/>
          <w:szCs w:val="32"/>
        </w:rPr>
        <w:t>的决策部署，落实《河南省“十四五”教育信息化发展规划》及《南阳市新型基础设施建设三年行动方案（2023-2025年）》等文件精神，加快中小学数字校园建设，积极探索差异化教学、个性化学习、精细化管理、智能化服务的路径，打造智慧校园示范校，为我县创建教育优质均衡县奠定基础，现拟实施</w:t>
      </w:r>
      <w:r>
        <w:rPr>
          <w:rFonts w:hint="eastAsia" w:ascii="仿宋" w:hAnsi="仿宋" w:eastAsia="仿宋" w:cs="仿宋"/>
          <w:b w:val="0"/>
          <w:bCs w:val="0"/>
          <w:sz w:val="32"/>
          <w:szCs w:val="32"/>
          <w:lang w:val="en-US" w:eastAsia="zh-CN"/>
        </w:rPr>
        <w:t>新野县智慧教育建设</w:t>
      </w:r>
      <w:r>
        <w:rPr>
          <w:rFonts w:hint="eastAsia" w:ascii="仿宋" w:hAnsi="仿宋" w:eastAsia="仿宋" w:cs="仿宋"/>
          <w:b w:val="0"/>
          <w:bCs w:val="0"/>
          <w:sz w:val="32"/>
          <w:szCs w:val="32"/>
        </w:rPr>
        <w:t>项目，具体情况</w:t>
      </w:r>
      <w:r>
        <w:rPr>
          <w:rFonts w:hint="eastAsia" w:ascii="仿宋" w:hAnsi="仿宋" w:eastAsia="仿宋" w:cs="仿宋"/>
          <w:b w:val="0"/>
          <w:bCs w:val="0"/>
          <w:sz w:val="32"/>
          <w:szCs w:val="32"/>
          <w:lang w:val="en-US" w:eastAsia="zh-CN"/>
        </w:rPr>
        <w:t>决策草案</w:t>
      </w:r>
      <w:r>
        <w:rPr>
          <w:rFonts w:hint="eastAsia" w:ascii="仿宋" w:hAnsi="仿宋" w:eastAsia="仿宋" w:cs="仿宋"/>
          <w:b w:val="0"/>
          <w:bCs w:val="0"/>
          <w:sz w:val="32"/>
          <w:szCs w:val="32"/>
        </w:rPr>
        <w:t>如下：</w:t>
      </w:r>
    </w:p>
    <w:p w14:paraId="0CCA2406">
      <w:pPr>
        <w:rPr>
          <w:rFonts w:hint="eastAsia" w:ascii="仿宋" w:hAnsi="仿宋" w:eastAsia="仿宋" w:cs="仿宋"/>
          <w:b w:val="0"/>
          <w:bCs w:val="0"/>
          <w:sz w:val="32"/>
          <w:szCs w:val="32"/>
        </w:rPr>
      </w:pPr>
      <w:r>
        <w:rPr>
          <w:rFonts w:hint="eastAsia" w:ascii="仿宋" w:hAnsi="仿宋" w:eastAsia="仿宋" w:cs="仿宋"/>
          <w:b w:val="0"/>
          <w:bCs w:val="0"/>
          <w:sz w:val="32"/>
          <w:szCs w:val="32"/>
        </w:rPr>
        <w:t>目前，我县共有中小学校125所，其中高中6所、初中25所、小学94所。共有4043个教学班，在校生139116人，在职在岗教师10500人。</w:t>
      </w:r>
    </w:p>
    <w:p w14:paraId="5C9AC3DC">
      <w:pPr>
        <w:rPr>
          <w:rFonts w:hint="eastAsia" w:ascii="仿宋" w:hAnsi="仿宋" w:eastAsia="仿宋" w:cs="仿宋"/>
          <w:b w:val="0"/>
          <w:bCs w:val="0"/>
          <w:sz w:val="32"/>
          <w:szCs w:val="32"/>
        </w:rPr>
      </w:pPr>
      <w:r>
        <w:rPr>
          <w:rFonts w:hint="eastAsia" w:ascii="仿宋" w:hAnsi="仿宋" w:eastAsia="仿宋" w:cs="仿宋"/>
          <w:b w:val="0"/>
          <w:bCs w:val="0"/>
          <w:sz w:val="32"/>
          <w:szCs w:val="32"/>
        </w:rPr>
        <w:t>当前，我县教育信息化基础设施与优质均衡创建标准存在较大差距，主要问题如下：</w:t>
      </w:r>
    </w:p>
    <w:p w14:paraId="6F565116">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学校理化生实验室、网络支撑能力薄弱：虽然所有中小学均已光纤到校，但仍有131余所学校需进行光网改造。现有网络运行和服务能力已无法满足数字化时代智慧教学与智能化管理需求，且缺乏云端部署和专项资金保障。</w:t>
      </w:r>
    </w:p>
    <w:p w14:paraId="559401BB">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我县教育信息化配备工作自2012年启动，前期基础性工程设备现已超期服役，在质量和数量上均亟待更新与补充。</w:t>
      </w:r>
    </w:p>
    <w:p w14:paraId="36366AB6">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起草依据</w:t>
      </w:r>
    </w:p>
    <w:p w14:paraId="4D070C2C">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根据</w:t>
      </w:r>
      <w:r>
        <w:rPr>
          <w:rFonts w:hint="eastAsia" w:ascii="仿宋" w:hAnsi="仿宋" w:eastAsia="仿宋" w:cs="仿宋"/>
          <w:b w:val="0"/>
          <w:bCs w:val="0"/>
          <w:sz w:val="32"/>
          <w:szCs w:val="32"/>
        </w:rPr>
        <w:t>《河南省“十四五”教育信息化发展规划》及《南阳市新型基础设施建设三年行动方案（2023-2025年）》等文件精神</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为破解教育信息化发展瓶颈，打造高质量教育体系，确保完成优质均衡县创建任务，拟在全县公办中小学实施“中小学教育数字化升级项目”。</w:t>
      </w:r>
    </w:p>
    <w:p w14:paraId="4285EB6F">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三、主要</w:t>
      </w:r>
      <w:r>
        <w:rPr>
          <w:rFonts w:hint="eastAsia" w:ascii="仿宋" w:hAnsi="仿宋" w:eastAsia="仿宋" w:cs="仿宋"/>
          <w:b/>
          <w:bCs/>
          <w:sz w:val="32"/>
          <w:szCs w:val="32"/>
        </w:rPr>
        <w:t>内容</w:t>
      </w:r>
    </w:p>
    <w:p w14:paraId="418901A7">
      <w:pPr>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项目总投资估算为</w:t>
      </w:r>
      <w:r>
        <w:rPr>
          <w:rFonts w:hint="eastAsia" w:ascii="仿宋" w:hAnsi="仿宋" w:eastAsia="仿宋" w:cs="仿宋"/>
          <w:b w:val="0"/>
          <w:bCs w:val="0"/>
          <w:color w:val="auto"/>
          <w:sz w:val="32"/>
          <w:szCs w:val="32"/>
          <w:highlight w:val="none"/>
          <w:lang w:val="en-US" w:eastAsia="zh-CN"/>
        </w:rPr>
        <w:t>3200</w:t>
      </w:r>
      <w:r>
        <w:rPr>
          <w:rFonts w:hint="eastAsia" w:ascii="仿宋" w:hAnsi="仿宋" w:eastAsia="仿宋" w:cs="仿宋"/>
          <w:b w:val="0"/>
          <w:bCs w:val="0"/>
          <w:color w:val="auto"/>
          <w:sz w:val="32"/>
          <w:szCs w:val="32"/>
          <w:highlight w:val="none"/>
        </w:rPr>
        <w:t>万</w:t>
      </w:r>
      <w:r>
        <w:rPr>
          <w:rFonts w:hint="eastAsia" w:ascii="仿宋" w:hAnsi="仿宋" w:eastAsia="仿宋" w:cs="仿宋"/>
          <w:b w:val="0"/>
          <w:bCs w:val="0"/>
          <w:sz w:val="32"/>
          <w:szCs w:val="32"/>
          <w:highlight w:val="none"/>
        </w:rPr>
        <w:t>元，共分</w:t>
      </w:r>
      <w:r>
        <w:rPr>
          <w:rFonts w:hint="eastAsia" w:ascii="仿宋" w:hAnsi="仿宋" w:eastAsia="仿宋" w:cs="仿宋"/>
          <w:b w:val="0"/>
          <w:bCs w:val="0"/>
          <w:sz w:val="32"/>
          <w:szCs w:val="32"/>
          <w:highlight w:val="none"/>
          <w:lang w:eastAsia="zh-CN"/>
        </w:rPr>
        <w:t>二</w:t>
      </w:r>
      <w:r>
        <w:rPr>
          <w:rFonts w:hint="eastAsia" w:ascii="仿宋" w:hAnsi="仿宋" w:eastAsia="仿宋" w:cs="仿宋"/>
          <w:b w:val="0"/>
          <w:bCs w:val="0"/>
          <w:sz w:val="32"/>
          <w:szCs w:val="32"/>
          <w:highlight w:val="none"/>
        </w:rPr>
        <w:t>个部分：</w:t>
      </w:r>
    </w:p>
    <w:p w14:paraId="1C48F59D">
      <w:pPr>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 理化生实验室提升：更新理化生实验室30套，投资2000万元。</w:t>
      </w:r>
    </w:p>
    <w:p w14:paraId="62C5B987">
      <w:pPr>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 xml:space="preserve"> 校园网提升及平台建设：采用“平台+内容+服务+终端+大数据”设计理念，构建县域内用户联通、数据共享、业务协同体系，推进各类平台与应用深度融合，构建局校一体的智慧教学管理支撑服务体系，并与上级教育专网对接。此项投资1200万元（其中平台建设1100万元，平台机房环境及三年网络租赁费100万元）。</w:t>
      </w:r>
    </w:p>
    <w:p w14:paraId="17A9F602">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（二）建设成效</w:t>
      </w:r>
    </w:p>
    <w:p w14:paraId="797D9222">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项目实施将有力推动我县教育信息化基础设施迭代升级，各项指标在全市位次将显著提升，满足师生数字化智慧教学需求。这将助推教育信息化2.0行动计划在我县实现跨越式发展，促进智慧校园应用落地，全面提升教师教学能力与学生综合素养，加快实现全县教育优质均衡与高质量发展。通过技术赋能教育“教、学、管、评”变革，提升利用大数据支撑教育管理、决策与公共服务的能力，最终提高新野县教育的社会满意度。</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NWIwY2Q2ZmQxZDEyMTZmOTFlMWQxOTE0NTIwMGYifQ=="/>
  </w:docVars>
  <w:rsids>
    <w:rsidRoot w:val="00000000"/>
    <w:rsid w:val="002025BE"/>
    <w:rsid w:val="06A658D2"/>
    <w:rsid w:val="078E2013"/>
    <w:rsid w:val="19D21A73"/>
    <w:rsid w:val="27036618"/>
    <w:rsid w:val="46F97497"/>
    <w:rsid w:val="65B63B88"/>
    <w:rsid w:val="65E6296C"/>
    <w:rsid w:val="6A3940B4"/>
    <w:rsid w:val="6E543369"/>
    <w:rsid w:val="7051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1342</Words>
  <Characters>1453</Characters>
  <Lines>0</Lines>
  <Paragraphs>0</Paragraphs>
  <TotalTime>22</TotalTime>
  <ScaleCrop>false</ScaleCrop>
  <LinksUpToDate>false</LinksUpToDate>
  <CharactersWithSpaces>1463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2025-12-29T06:06:00Z</dcterms:created>
  <dc:creator>user</dc:creator>
  <cp:lastModifiedBy>Administrator</cp:lastModifiedBy>
  <dcterms:modified xsi:type="dcterms:W3CDTF">2026-01-16T08:34:47Z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9F65C27A132C435A9A1F41CCAD65C608_13</vt:lpwstr>
  </property>
</Properties>
</file>