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80" w:lineRule="exact"/>
        <w:jc w:val="center"/>
        <w:textAlignment w:val="auto"/>
        <w:rPr>
          <w:rFonts w:ascii="方正大标宋_GBK" w:eastAsia="方正大标宋_GBK"/>
          <w:b w:val="0"/>
          <w:bCs/>
          <w:kern w:val="0"/>
          <w:sz w:val="44"/>
          <w:szCs w:val="44"/>
        </w:rPr>
      </w:pPr>
    </w:p>
    <w:p>
      <w:pPr>
        <w:keepNext w:val="0"/>
        <w:keepLines w:val="0"/>
        <w:pageBreakBefore w:val="0"/>
        <w:widowControl w:val="0"/>
        <w:kinsoku/>
        <w:overflowPunct/>
        <w:topLinePunct w:val="0"/>
        <w:autoSpaceDE/>
        <w:autoSpaceDN/>
        <w:bidi w:val="0"/>
        <w:adjustRightInd/>
        <w:spacing w:line="580" w:lineRule="exact"/>
        <w:jc w:val="center"/>
        <w:textAlignment w:val="auto"/>
        <w:rPr>
          <w:rFonts w:hint="eastAsia" w:ascii="国标小标宋-GB/T 2312" w:hAnsi="国标小标宋-GB/T 2312" w:eastAsia="国标小标宋-GB/T 2312" w:cs="国标小标宋-GB/T 2312"/>
          <w:b w:val="0"/>
          <w:bCs/>
          <w:kern w:val="0"/>
          <w:sz w:val="44"/>
          <w:szCs w:val="44"/>
        </w:rPr>
      </w:pPr>
      <w:bookmarkStart w:id="0" w:name="_GoBack"/>
      <w:r>
        <w:rPr>
          <w:rFonts w:hint="eastAsia" w:ascii="国标小标宋-GB/T 2312" w:hAnsi="国标小标宋-GB/T 2312" w:eastAsia="国标小标宋-GB/T 2312" w:cs="国标小标宋-GB/T 2312"/>
          <w:b w:val="0"/>
          <w:bCs/>
          <w:kern w:val="0"/>
          <w:sz w:val="44"/>
          <w:szCs w:val="44"/>
        </w:rPr>
        <w:t>中共</w:t>
      </w:r>
      <w:r>
        <w:rPr>
          <w:rFonts w:hint="eastAsia" w:ascii="国标小标宋-GB/T 2312" w:hAnsi="国标小标宋-GB/T 2312" w:eastAsia="国标小标宋-GB/T 2312" w:cs="国标小标宋-GB/T 2312"/>
          <w:b w:val="0"/>
          <w:bCs/>
          <w:kern w:val="0"/>
          <w:sz w:val="44"/>
          <w:szCs w:val="44"/>
          <w:lang w:val="en-US" w:eastAsia="zh-CN"/>
        </w:rPr>
        <w:t>新野县市场监督管理局</w:t>
      </w:r>
      <w:r>
        <w:rPr>
          <w:rFonts w:hint="eastAsia" w:ascii="国标小标宋-GB/T 2312" w:hAnsi="国标小标宋-GB/T 2312" w:eastAsia="国标小标宋-GB/T 2312" w:cs="国标小标宋-GB/T 2312"/>
          <w:b w:val="0"/>
          <w:bCs/>
          <w:kern w:val="0"/>
          <w:sz w:val="44"/>
          <w:szCs w:val="44"/>
        </w:rPr>
        <w:t>党</w:t>
      </w:r>
      <w:r>
        <w:rPr>
          <w:rFonts w:hint="eastAsia" w:ascii="国标小标宋-GB/T 2312" w:hAnsi="国标小标宋-GB/T 2312" w:eastAsia="国标小标宋-GB/T 2312" w:cs="国标小标宋-GB/T 2312"/>
          <w:b w:val="0"/>
          <w:bCs/>
          <w:kern w:val="0"/>
          <w:sz w:val="44"/>
          <w:szCs w:val="44"/>
          <w:lang w:eastAsia="zh-CN"/>
        </w:rPr>
        <w:t>组</w:t>
      </w:r>
      <w:r>
        <w:rPr>
          <w:rFonts w:hint="eastAsia" w:ascii="国标小标宋-GB/T 2312" w:hAnsi="国标小标宋-GB/T 2312" w:eastAsia="国标小标宋-GB/T 2312" w:cs="国标小标宋-GB/T 2312"/>
          <w:b w:val="0"/>
          <w:bCs/>
          <w:kern w:val="0"/>
          <w:sz w:val="44"/>
          <w:szCs w:val="44"/>
        </w:rPr>
        <w:t>关于</w:t>
      </w:r>
      <w:r>
        <w:rPr>
          <w:rFonts w:hint="eastAsia" w:ascii="国标小标宋-GB/T 2312" w:hAnsi="国标小标宋-GB/T 2312" w:eastAsia="国标小标宋-GB/T 2312" w:cs="国标小标宋-GB/T 2312"/>
          <w:b w:val="0"/>
          <w:bCs/>
          <w:kern w:val="0"/>
          <w:sz w:val="44"/>
          <w:szCs w:val="44"/>
          <w:lang w:eastAsia="zh-CN"/>
        </w:rPr>
        <w:t>巡察</w:t>
      </w:r>
      <w:r>
        <w:rPr>
          <w:rFonts w:hint="eastAsia" w:ascii="国标小标宋-GB/T 2312" w:hAnsi="国标小标宋-GB/T 2312" w:eastAsia="国标小标宋-GB/T 2312" w:cs="国标小标宋-GB/T 2312"/>
          <w:b w:val="0"/>
          <w:bCs/>
          <w:kern w:val="0"/>
          <w:sz w:val="44"/>
          <w:szCs w:val="44"/>
        </w:rPr>
        <w:t>整改情况的通报</w:t>
      </w:r>
    </w:p>
    <w:bookmarkEnd w:id="0"/>
    <w:p>
      <w:pPr>
        <w:keepNext w:val="0"/>
        <w:keepLines w:val="0"/>
        <w:pageBreakBefore w:val="0"/>
        <w:widowControl w:val="0"/>
        <w:kinsoku/>
        <w:overflowPunct/>
        <w:topLinePunct w:val="0"/>
        <w:autoSpaceDE/>
        <w:autoSpaceDN/>
        <w:bidi w:val="0"/>
        <w:adjustRightInd/>
        <w:spacing w:line="580" w:lineRule="exact"/>
        <w:ind w:firstLine="640"/>
        <w:jc w:val="left"/>
        <w:textAlignment w:val="auto"/>
        <w:rPr>
          <w:rFonts w:hint="eastAsia" w:ascii="方正小标宋简体" w:hAnsi="方正小标宋简体" w:eastAsia="方正小标宋简体" w:cs="方正小标宋简体"/>
          <w:b w:val="0"/>
          <w:bCs/>
          <w:kern w:val="0"/>
          <w:sz w:val="44"/>
          <w:szCs w:val="44"/>
        </w:rPr>
      </w:pPr>
    </w:p>
    <w:p>
      <w:pPr>
        <w:keepNext w:val="0"/>
        <w:keepLines w:val="0"/>
        <w:pageBreakBefore w:val="0"/>
        <w:widowControl w:val="0"/>
        <w:kinsoku/>
        <w:wordWrap/>
        <w:overflowPunct/>
        <w:topLinePunct/>
        <w:autoSpaceDE/>
        <w:autoSpaceDN/>
        <w:bidi w:val="0"/>
        <w:adjustRightInd/>
        <w:snapToGrid/>
        <w:spacing w:before="0" w:after="0" w:line="560" w:lineRule="exact"/>
        <w:ind w:left="0" w:leftChars="0" w:right="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县委统一部署，2025年4月1日至5月15日，县委第五巡察组对我局进行了食品安全领域突出问题机动巡察。6月5日，县委巡察组向我局党委反馈了巡察意见。按照《中国共产党巡视工作条例》等有关规定，现将巡察整改情况予以公布。</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组织巡察整改工作情况</w:t>
      </w:r>
    </w:p>
    <w:p>
      <w:pPr>
        <w:keepNext w:val="0"/>
        <w:keepLines w:val="0"/>
        <w:pageBreakBefore w:val="0"/>
        <w:widowControl w:val="0"/>
        <w:kinsoku/>
        <w:wordWrap/>
        <w:overflowPunct/>
        <w:topLinePunct/>
        <w:autoSpaceDE/>
        <w:autoSpaceDN/>
        <w:bidi w:val="0"/>
        <w:adjustRightInd/>
        <w:snapToGrid/>
        <w:spacing w:before="0" w:after="0" w:line="560" w:lineRule="exact"/>
        <w:ind w:left="0" w:leftChars="0" w:right="0" w:firstLine="642"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1、强化组织领导，从严从实落实主体责任。</w:t>
      </w:r>
      <w:r>
        <w:rPr>
          <w:rFonts w:hint="eastAsia" w:ascii="仿宋" w:hAnsi="仿宋" w:eastAsia="仿宋" w:cs="仿宋"/>
          <w:sz w:val="32"/>
          <w:szCs w:val="32"/>
        </w:rPr>
        <w:t>成立整改落实工作领导小组</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局党组主要负责人履行“第一责任人”职责，对整改工作负总责，先后主持召开巡察整改</w:t>
      </w:r>
      <w:r>
        <w:rPr>
          <w:rFonts w:hint="eastAsia" w:ascii="仿宋" w:hAnsi="仿宋" w:eastAsia="仿宋" w:cs="仿宋"/>
          <w:b w:val="0"/>
          <w:bCs w:val="0"/>
          <w:color w:val="auto"/>
          <w:sz w:val="32"/>
          <w:szCs w:val="32"/>
          <w:lang w:val="en-US" w:eastAsia="zh-CN"/>
        </w:rPr>
        <w:t>工作推进会5次，研究制定整改方案，及时研究解决整改难点问题。召开巡察整改专</w:t>
      </w:r>
      <w:r>
        <w:rPr>
          <w:rFonts w:hint="eastAsia" w:ascii="仿宋" w:hAnsi="仿宋" w:eastAsia="仿宋" w:cs="仿宋"/>
          <w:b w:val="0"/>
          <w:bCs w:val="0"/>
          <w:sz w:val="32"/>
          <w:szCs w:val="32"/>
          <w:lang w:val="en-US" w:eastAsia="zh-CN"/>
        </w:rPr>
        <w:t xml:space="preserve">题民主生活会，班子成员主动认领问题，深入开展批评与自我批评，细化整改措施和明确整改时限，通过明晰职责分工、强化督办调度，构建起一级抓一级、层层抓落实的整改工作格局，凝聚整改工作强大合力。 </w:t>
      </w:r>
    </w:p>
    <w:p>
      <w:pPr>
        <w:keepNext w:val="0"/>
        <w:keepLines w:val="0"/>
        <w:pageBreakBefore w:val="0"/>
        <w:widowControl w:val="0"/>
        <w:kinsoku/>
        <w:wordWrap/>
        <w:overflowPunct/>
        <w:topLinePunct/>
        <w:autoSpaceDE/>
        <w:autoSpaceDN/>
        <w:bidi w:val="0"/>
        <w:adjustRightInd/>
        <w:snapToGrid/>
        <w:spacing w:before="0" w:after="0" w:line="560" w:lineRule="exact"/>
        <w:ind w:left="0" w:leftChars="0" w:right="0" w:firstLine="642"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2、细化责任分工，推进整改任务落地见效。</w:t>
      </w:r>
      <w:r>
        <w:rPr>
          <w:rFonts w:hint="eastAsia" w:ascii="仿宋" w:hAnsi="仿宋" w:eastAsia="仿宋" w:cs="仿宋"/>
          <w:b w:val="0"/>
          <w:bCs w:val="0"/>
          <w:sz w:val="32"/>
          <w:szCs w:val="32"/>
          <w:lang w:val="en-US" w:eastAsia="zh-CN"/>
        </w:rPr>
        <w:t xml:space="preserve">坚持问题导向，制定整改工作方案，对巡察反馈问题逐一剖析根源，制定针对性整改措施。分类建立整改台账，明确责任领导、责任股室、责任人、整改措施及整改时限，确保责任到人、任务到岗。在推进整改过程中，注重将整改工作与日常业务深度融合，既以整改推动工作提质增效，又通过完善制度机制巩固整改成果，实现整改与发展两不误、两促进。 </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3、严格监督检查，提升巡察整改工作质效。</w:t>
      </w:r>
      <w:r>
        <w:rPr>
          <w:rFonts w:hint="eastAsia" w:ascii="仿宋" w:hAnsi="仿宋" w:eastAsia="仿宋" w:cs="仿宋"/>
          <w:b w:val="0"/>
          <w:bCs w:val="0"/>
          <w:sz w:val="32"/>
          <w:szCs w:val="32"/>
          <w:lang w:val="en-US" w:eastAsia="zh-CN"/>
        </w:rPr>
        <w:t>邀请派驻纪检组列席党组会、巡察整改专题民主生活会，强化整改过程监督指导，为整改工作筑牢纪律防线。将巡察整改纳入日常监督，对照整改措施和时限开展定期检查、对账销号。每月听取整改进展汇报，对推进滞后事项，通过谈话提醒、班子成员包抓等方式强力推进。</w:t>
      </w:r>
      <w:r>
        <w:rPr>
          <w:rFonts w:hint="eastAsia" w:ascii="仿宋" w:hAnsi="仿宋" w:eastAsia="仿宋" w:cs="仿宋"/>
          <w:sz w:val="32"/>
          <w:szCs w:val="32"/>
          <w:lang w:val="en-US" w:eastAsia="zh-CN"/>
        </w:rPr>
        <w:t>巡察整改以来，</w:t>
      </w:r>
      <w:r>
        <w:rPr>
          <w:rFonts w:hint="eastAsia" w:ascii="仿宋" w:hAnsi="仿宋" w:eastAsia="仿宋" w:cs="仿宋"/>
          <w:b w:val="0"/>
          <w:bCs w:val="0"/>
          <w:sz w:val="32"/>
          <w:szCs w:val="32"/>
          <w:lang w:val="en-US" w:eastAsia="zh-CN"/>
        </w:rPr>
        <w:t>县纪委直接问责3人，局内部问责5</w:t>
      </w:r>
      <w:r>
        <w:rPr>
          <w:rFonts w:hint="eastAsia" w:ascii="仿宋" w:hAnsi="仿宋" w:eastAsia="仿宋" w:cs="仿宋"/>
          <w:color w:val="auto"/>
          <w:sz w:val="32"/>
          <w:szCs w:val="32"/>
          <w:lang w:val="en-US" w:eastAsia="zh-CN"/>
        </w:rPr>
        <w:t>人。</w:t>
      </w:r>
    </w:p>
    <w:p>
      <w:pPr>
        <w:keepNext w:val="0"/>
        <w:keepLines w:val="0"/>
        <w:pageBreakBefore w:val="0"/>
        <w:numPr>
          <w:ilvl w:val="0"/>
          <w:numId w:val="0"/>
        </w:numPr>
        <w:kinsoku/>
        <w:overflowPunct/>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截至10月17日，针对巡察反馈的9个问题11个整改事项，已完成整改9个，</w:t>
      </w:r>
      <w:r>
        <w:rPr>
          <w:rFonts w:hint="eastAsia" w:ascii="仿宋" w:hAnsi="仿宋" w:eastAsia="仿宋" w:cs="仿宋"/>
          <w:b w:val="0"/>
          <w:bCs/>
          <w:color w:val="auto"/>
          <w:sz w:val="32"/>
          <w:szCs w:val="32"/>
          <w:lang w:val="en-US" w:eastAsia="zh-CN"/>
        </w:rPr>
        <w:t>2个整改事项长期坚持整改；制定的42条整改措施，已完成40条。</w:t>
      </w:r>
      <w:r>
        <w:rPr>
          <w:rFonts w:hint="eastAsia" w:ascii="仿宋" w:hAnsi="仿宋" w:eastAsia="仿宋" w:cs="仿宋"/>
          <w:b w:val="0"/>
          <w:bCs w:val="0"/>
          <w:sz w:val="32"/>
          <w:szCs w:val="32"/>
          <w:lang w:val="en-US" w:eastAsia="zh-CN"/>
        </w:rPr>
        <w:t>移交信访问题1个，已办结。</w:t>
      </w:r>
    </w:p>
    <w:p>
      <w:pPr>
        <w:keepNext w:val="0"/>
        <w:keepLines w:val="0"/>
        <w:pageBreakBefore w:val="0"/>
        <w:numPr>
          <w:ilvl w:val="0"/>
          <w:numId w:val="0"/>
        </w:numPr>
        <w:kinsoku/>
        <w:overflowPunct/>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整改任务落实情况</w:t>
      </w:r>
    </w:p>
    <w:p>
      <w:pPr>
        <w:pStyle w:val="8"/>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 xml:space="preserve"> </w:t>
      </w:r>
      <w:r>
        <w:rPr>
          <w:rFonts w:hint="eastAsia" w:ascii="仿宋" w:hAnsi="仿宋" w:eastAsia="仿宋" w:cs="仿宋"/>
          <w:b/>
          <w:bCs w:val="0"/>
          <w:color w:val="auto"/>
          <w:sz w:val="32"/>
          <w:szCs w:val="32"/>
          <w:lang w:val="en" w:eastAsia="zh-CN"/>
        </w:rPr>
        <w:t>（一）已完成的整改事项及整改结果</w:t>
      </w:r>
    </w:p>
    <w:p>
      <w:pPr>
        <w:keepNext w:val="0"/>
        <w:keepLines w:val="0"/>
        <w:pageBreakBefore w:val="0"/>
        <w:widowControl w:val="0"/>
        <w:numPr>
          <w:ilvl w:val="0"/>
          <w:numId w:val="0"/>
        </w:numPr>
        <w:kinsoku/>
        <w:wordWrap/>
        <w:overflowPunct/>
        <w:topLinePunct/>
        <w:autoSpaceDE/>
        <w:autoSpaceDN/>
        <w:bidi w:val="0"/>
        <w:adjustRightInd/>
        <w:snapToGrid/>
        <w:spacing w:before="0" w:line="600" w:lineRule="exact"/>
        <w:ind w:right="0" w:firstLine="642" w:firstLineChars="200"/>
        <w:textAlignment w:val="auto"/>
        <w:outlineLvl w:val="9"/>
        <w:rPr>
          <w:rFonts w:hint="eastAsia" w:ascii="微软雅黑" w:hAnsi="微软雅黑" w:eastAsia="微软雅黑" w:cs="微软雅黑"/>
          <w:b/>
          <w:bCs/>
          <w:sz w:val="32"/>
          <w:szCs w:val="32"/>
          <w:lang w:val="en-US" w:eastAsia="zh-CN"/>
        </w:rPr>
      </w:pPr>
      <w:r>
        <w:rPr>
          <w:rFonts w:hint="eastAsia" w:ascii="仿宋" w:hAnsi="仿宋" w:eastAsia="仿宋" w:cs="仿宋"/>
          <w:b/>
          <w:bCs/>
          <w:sz w:val="32"/>
          <w:szCs w:val="32"/>
          <w:lang w:val="en-US" w:eastAsia="zh-CN"/>
        </w:rPr>
        <w:t>1、关于“检测中心职能职责未有效履行”</w:t>
      </w:r>
      <w:r>
        <w:rPr>
          <w:rFonts w:hint="eastAsia" w:ascii="仿宋" w:hAnsi="仿宋" w:eastAsia="仿宋" w:cs="仿宋"/>
          <w:b/>
          <w:bCs/>
          <w:color w:val="auto"/>
          <w:sz w:val="32"/>
          <w:szCs w:val="32"/>
          <w:lang w:val="en-US" w:eastAsia="zh-CN"/>
        </w:rPr>
        <w:t>的</w:t>
      </w:r>
      <w:r>
        <w:rPr>
          <w:rFonts w:hint="eastAsia" w:ascii="仿宋" w:hAnsi="仿宋" w:eastAsia="仿宋" w:cs="仿宋"/>
          <w:b/>
          <w:bCs/>
          <w:sz w:val="32"/>
          <w:szCs w:val="32"/>
          <w:lang w:val="en-US" w:eastAsia="zh-CN"/>
        </w:rPr>
        <w:t>问题</w:t>
      </w:r>
    </w:p>
    <w:p>
      <w:pPr>
        <w:widowControl/>
        <w:numPr>
          <w:ilvl w:val="-1"/>
          <w:numId w:val="0"/>
        </w:numPr>
        <w:wordWrap/>
        <w:topLinePunct/>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整改进展情况：</w:t>
      </w:r>
      <w:r>
        <w:rPr>
          <w:rFonts w:hint="eastAsia" w:ascii="仿宋_GB2312" w:hAnsi="仿宋_GB2312" w:eastAsia="仿宋_GB2312" w:cs="仿宋_GB2312"/>
          <w:b/>
          <w:bCs/>
          <w:sz w:val="32"/>
          <w:szCs w:val="32"/>
          <w:lang w:val="en-US" w:eastAsia="zh-CN"/>
        </w:rPr>
        <w:t>一是</w:t>
      </w:r>
      <w:r>
        <w:rPr>
          <w:rFonts w:hint="eastAsia" w:ascii="仿宋" w:hAnsi="仿宋" w:eastAsia="仿宋" w:cs="仿宋"/>
          <w:color w:val="auto"/>
          <w:sz w:val="32"/>
          <w:szCs w:val="32"/>
          <w:lang w:val="en-US" w:eastAsia="zh-CN"/>
        </w:rPr>
        <w:t>检测中心职能为建标范围内的计量检定、认证范围内的产品质量检验（含棉纱和水泥砖等），</w:t>
      </w:r>
      <w:r>
        <w:rPr>
          <w:rFonts w:hint="eastAsia" w:eastAsia="仿宋"/>
          <w:sz w:val="32"/>
          <w:lang w:val="en-US" w:eastAsia="zh-CN"/>
        </w:rPr>
        <w:t>承担食品抽样任务，承担市局下达的药品抽检任务。</w:t>
      </w:r>
      <w:r>
        <w:rPr>
          <w:rFonts w:hint="eastAsia" w:ascii="仿宋" w:hAnsi="仿宋" w:eastAsia="仿宋" w:cs="仿宋"/>
          <w:color w:val="auto"/>
          <w:sz w:val="32"/>
          <w:szCs w:val="32"/>
          <w:lang w:val="en-US" w:eastAsia="zh-CN"/>
        </w:rPr>
        <w:t>食品检验方面，因检测中心设备</w:t>
      </w:r>
      <w:r>
        <w:rPr>
          <w:rFonts w:hint="eastAsia" w:ascii="宋体" w:hAnsi="宋体" w:eastAsia="仿宋" w:cs="宋体"/>
          <w:sz w:val="32"/>
          <w:lang w:val="en-US" w:eastAsia="zh-CN"/>
        </w:rPr>
        <w:t>检测能力较低，不能在国家信息系统平台上注册，不能获得CA签章，所以</w:t>
      </w:r>
      <w:r>
        <w:rPr>
          <w:rFonts w:hint="eastAsia" w:eastAsia="仿宋"/>
          <w:sz w:val="32"/>
          <w:lang w:val="en-US" w:eastAsia="zh-CN"/>
        </w:rPr>
        <w:t>不具备承担食品安全监督检验任务的条件。</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检测中心履职情况：每年完成计量检定8500台（次、件）左右，完成食品抽查1200—1500批次，完成农产品快速检验500—2000批次，完成产品委托检验20批次，完成</w:t>
      </w:r>
      <w:r>
        <w:rPr>
          <w:rFonts w:hint="eastAsia" w:eastAsia="仿宋"/>
          <w:sz w:val="32"/>
          <w:lang w:val="en-US" w:eastAsia="zh-CN"/>
        </w:rPr>
        <w:t>市局下达的药品抽检任务30—50批次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lang w:val="en-US" w:eastAsia="zh-CN"/>
        </w:rPr>
        <w:t>继续开展建标范围内的计量检定工作；继续实行抽检分离，监督抽查任务由县检测中心承担抽样任务；继续开展农产品快速检验工作；根据检测中心的检测能力，继续开展产品委托检验工作。目前已对中心工作人员进行了2期的业务培训工作，业务能力进一步提高，操作流程进一步规范。计量检定工作，目前已检定计量器具7500台（件、次）；产品抽样工作，目前已完成食品抽样936批次，重点工业品166批次；快检工作，目前已完成510批次；目前已开展食品、建材、棉纱等产品的委托检验工作15批次，确保完成职责范围内的年度目标任务。</w:t>
      </w:r>
    </w:p>
    <w:p>
      <w:pPr>
        <w:keepNext w:val="0"/>
        <w:keepLines w:val="0"/>
        <w:pageBreakBefore w:val="0"/>
        <w:widowControl w:val="0"/>
        <w:numPr>
          <w:ilvl w:val="0"/>
          <w:numId w:val="0"/>
        </w:numPr>
        <w:kinsoku/>
        <w:wordWrap/>
        <w:overflowPunct/>
        <w:topLinePunct/>
        <w:autoSpaceDE/>
        <w:autoSpaceDN/>
        <w:bidi w:val="0"/>
        <w:adjustRightInd/>
        <w:snapToGrid/>
        <w:spacing w:before="0" w:line="600" w:lineRule="exact"/>
        <w:ind w:right="0" w:firstLine="6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2、关于“市场监管局对猪肉市场销售监管不到位，猪肉销售市场存在食品安全隐患”的问题</w:t>
      </w:r>
    </w:p>
    <w:p>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整改进展情况：</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对施庵赵红义立案查处，没收当事人13公斤未经检疫、检验的生鲜猪肉，罚没金额2万元，并对施庵市场监管所所长宋公凡进行函询谈话。五星镇崔合法销售生鲜猪肉门市、五星镇上和佳超市已按要求办理健康证。汉华马小磊就4月15日实际经营情况已做出情况说明。</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制定印发了《新野县肉及肉类产品专项整治行动工作方案》《新野县农村假冒伪劣食品整治方案》《新野肉制品管理制度》，开展了专项整治，严厉打击了违法行为。目前已立案查处5起案件，罚没3.3万元。</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压实企业主体责任，建立猪肉摊贩经营台账，指导签订承诺书200余份，督促规范经营。</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畅通投诉举报渠道，在官网公众号发布了关于“制售假劣肉制品、农村假冒伪劣食品”问题公开征集违法线索的通告，鼓励群众拨打12315/12345举报热线，共同参与整治行动，守护舌尖上的安全。</w:t>
      </w:r>
      <w:r>
        <w:rPr>
          <w:rFonts w:hint="eastAsia" w:ascii="仿宋" w:hAnsi="仿宋" w:eastAsia="仿宋" w:cs="仿宋"/>
          <w:b w:val="0"/>
          <w:bCs w:val="0"/>
          <w:color w:val="auto"/>
          <w:sz w:val="32"/>
          <w:szCs w:val="32"/>
          <w:lang w:val="en-US" w:eastAsia="zh-CN"/>
        </w:rPr>
        <w:t>目前已受理相关投诉举报18起，核查解决18起</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开展科普宣传，通过发放宣传资料、现场讲解等方式，向消费者宣传食品安全知识，鼓励其购买猪肉时自觉查验生猪检疫验讫印章以及动物检疫合格证明和肉品品质检验合格证等证明文件，切实维护自身权益。</w:t>
      </w:r>
    </w:p>
    <w:p>
      <w:pPr>
        <w:keepNext w:val="0"/>
        <w:keepLines w:val="0"/>
        <w:pageBreakBefore w:val="0"/>
        <w:widowControl w:val="0"/>
        <w:numPr>
          <w:ilvl w:val="0"/>
          <w:numId w:val="0"/>
        </w:numPr>
        <w:kinsoku/>
        <w:wordWrap/>
        <w:overflowPunct/>
        <w:topLinePunct/>
        <w:autoSpaceDE/>
        <w:autoSpaceDN/>
        <w:bidi w:val="0"/>
        <w:adjustRightInd/>
        <w:snapToGrid/>
        <w:spacing w:before="0" w:line="600" w:lineRule="exact"/>
        <w:ind w:right="0" w:firstLine="642"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3、关于“临街屠宰销售牛肉、羊肉处于监管空白”的问题</w:t>
      </w:r>
    </w:p>
    <w:p>
      <w:pPr>
        <w:keepNext w:val="0"/>
        <w:keepLines w:val="0"/>
        <w:pageBreakBefore w:val="0"/>
        <w:widowControl w:val="0"/>
        <w:numPr>
          <w:ilvl w:val="0"/>
          <w:numId w:val="0"/>
        </w:numPr>
        <w:kinsoku/>
        <w:wordWrap/>
        <w:overflowPunct/>
        <w:topLinePunct/>
        <w:autoSpaceDE/>
        <w:autoSpaceDN/>
        <w:bidi w:val="0"/>
        <w:adjustRightInd/>
        <w:snapToGrid/>
        <w:spacing w:before="0" w:line="600" w:lineRule="exact"/>
        <w:ind w:right="0" w:firstLine="64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整改进展情况：</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召开了牛羊肉整治工作部门会商会，厘清了市场监管、畜牧、农业农村、城管等单位工作职责，开展全面自查。</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组织市场监管、农业农村、畜牧、城管等执法力量开展联合执法行动6次，开展现场执法，对违规经营者进行教育，加强对临街屠宰牛羊摊位占道经营的监管和管理,加大宣传力度，告知临街屠宰商铺严格落实“门前五包”制度,禁止店外经营、占道经营，增设警示标识，禁止临街屠宰行为。目前已对31家牛羊肉屠宰点和活鸡宰杀点进行了现场执法检查，清理沿街屠宰及占道摊位12处。</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在现场检查中确实发现活鸡宰后存在普遍的泡水现象，据商户称，鸡肉宰后泡水只是为了保持鸡皮及鸡肉的鲜活便于销售，如不宰后泡水，天气太热半个小时鸡肉会变色，影响售卖，执法人员已对其开展批评教育。</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加大抽检与案件查办。截止到目前为止，共发放宣传单300余份，共组织抽检牛羊肉16个批次（2个水分超标，正在立案处理），开展瘦肉精检测牛羊养殖场52场次，未发现不合格批次。市场监管局查获5起运输（经营）涉嫌未经检验检疫的牛副产品案件，罚没款9.23万元；农业农村局查获相关案件3起，罚款2.1万元。</w:t>
      </w:r>
    </w:p>
    <w:p>
      <w:pPr>
        <w:keepNext w:val="0"/>
        <w:keepLines w:val="0"/>
        <w:pageBreakBefore w:val="0"/>
        <w:widowControl w:val="0"/>
        <w:numPr>
          <w:ilvl w:val="0"/>
          <w:numId w:val="0"/>
        </w:numPr>
        <w:kinsoku/>
        <w:wordWrap/>
        <w:overflowPunct/>
        <w:topLinePunct/>
        <w:autoSpaceDE/>
        <w:autoSpaceDN/>
        <w:bidi w:val="0"/>
        <w:adjustRightInd/>
        <w:snapToGrid/>
        <w:spacing w:before="0" w:line="600" w:lineRule="exact"/>
        <w:ind w:right="0" w:firstLine="6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4、关于“农村集体聚餐管理缺失，没有严格落实报备制度”的问题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整改成效：</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制定了《</w:t>
      </w:r>
      <w:r>
        <w:rPr>
          <w:rFonts w:hint="default" w:ascii="仿宋" w:hAnsi="仿宋" w:eastAsia="仿宋" w:cs="仿宋"/>
          <w:sz w:val="32"/>
          <w:szCs w:val="32"/>
          <w:lang w:val="en-US" w:eastAsia="zh-CN"/>
        </w:rPr>
        <w:t>新野县农村集体聚餐食品安全操作规范</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对全县260名农村集体聚餐厨师建立监管工作台账，</w:t>
      </w:r>
      <w:r>
        <w:rPr>
          <w:rFonts w:hint="eastAsia" w:ascii="仿宋" w:hAnsi="仿宋" w:eastAsia="仿宋" w:cs="仿宋"/>
          <w:sz w:val="32"/>
          <w:szCs w:val="32"/>
          <w:lang w:val="en-US" w:eastAsia="zh-CN"/>
        </w:rPr>
        <w:t>全县共组织开展农村集体聚餐食品安全工作推进会和业务培训会16场，共培训</w:t>
      </w:r>
      <w:r>
        <w:rPr>
          <w:rFonts w:hint="default" w:ascii="仿宋" w:hAnsi="仿宋" w:eastAsia="仿宋" w:cs="仿宋"/>
          <w:sz w:val="32"/>
          <w:szCs w:val="32"/>
          <w:lang w:val="en-US" w:eastAsia="zh-CN"/>
        </w:rPr>
        <w:t>全县各乡镇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街道农村集体聚餐厨师和从业人员956人次。</w:t>
      </w:r>
      <w:r>
        <w:rPr>
          <w:rFonts w:hint="eastAsia" w:ascii="仿宋" w:hAnsi="仿宋" w:eastAsia="仿宋" w:cs="仿宋"/>
          <w:sz w:val="32"/>
          <w:szCs w:val="32"/>
          <w:lang w:val="en-US" w:eastAsia="zh-CN"/>
        </w:rPr>
        <w:t>对各乡镇（街道）</w:t>
      </w:r>
      <w:r>
        <w:rPr>
          <w:rFonts w:hint="default" w:ascii="仿宋" w:hAnsi="仿宋" w:eastAsia="仿宋" w:cs="仿宋"/>
          <w:sz w:val="32"/>
          <w:szCs w:val="32"/>
          <w:lang w:val="en-US" w:eastAsia="zh-CN"/>
        </w:rPr>
        <w:t>农村集体聚餐</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部分协管人员</w:t>
      </w:r>
      <w:r>
        <w:rPr>
          <w:rFonts w:hint="eastAsia" w:ascii="仿宋" w:hAnsi="仿宋" w:eastAsia="仿宋" w:cs="仿宋"/>
          <w:sz w:val="32"/>
          <w:szCs w:val="32"/>
          <w:lang w:val="en-US" w:eastAsia="zh-CN"/>
        </w:rPr>
        <w:t>进行了</w:t>
      </w:r>
      <w:r>
        <w:rPr>
          <w:rFonts w:hint="default" w:ascii="仿宋" w:hAnsi="仿宋" w:eastAsia="仿宋" w:cs="仿宋"/>
          <w:sz w:val="32"/>
          <w:szCs w:val="32"/>
          <w:lang w:val="en-US" w:eastAsia="zh-CN"/>
        </w:rPr>
        <w:t>书面考试考核，</w:t>
      </w:r>
      <w:r>
        <w:rPr>
          <w:rFonts w:hint="eastAsia" w:ascii="仿宋" w:hAnsi="仿宋" w:eastAsia="仿宋" w:cs="仿宋"/>
          <w:sz w:val="32"/>
          <w:szCs w:val="32"/>
          <w:lang w:val="en-US" w:eastAsia="zh-CN"/>
        </w:rPr>
        <w:t>考试合格率达100%，</w:t>
      </w:r>
      <w:r>
        <w:rPr>
          <w:rFonts w:hint="eastAsia" w:ascii="仿宋" w:hAnsi="仿宋" w:eastAsia="仿宋" w:cs="仿宋"/>
          <w:b/>
          <w:bCs/>
          <w:sz w:val="32"/>
          <w:szCs w:val="32"/>
          <w:lang w:val="en-US" w:eastAsia="zh-CN"/>
        </w:rPr>
        <w:t>二是</w:t>
      </w:r>
      <w:r>
        <w:rPr>
          <w:rFonts w:hint="default" w:ascii="仿宋" w:hAnsi="仿宋" w:eastAsia="仿宋" w:cs="仿宋"/>
          <w:sz w:val="32"/>
          <w:szCs w:val="32"/>
          <w:lang w:val="en-US" w:eastAsia="zh-CN"/>
        </w:rPr>
        <w:t>全县各乡镇共印制了1000余份《新野县农村集体聚餐“五个明白”》、《预防食物中毒把好十关》等宣传海报和宣传单，通过宣传，有效提高了农村人民群众食品安全的防控意识和“人人知晓、主动配合”的良好社会氛围</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印发了</w:t>
      </w:r>
      <w:r>
        <w:rPr>
          <w:rFonts w:hint="default" w:ascii="仿宋" w:hAnsi="仿宋" w:eastAsia="仿宋" w:cs="仿宋"/>
          <w:sz w:val="32"/>
          <w:szCs w:val="32"/>
          <w:lang w:val="en-US" w:eastAsia="zh-CN"/>
        </w:rPr>
        <w:t>《关于加强对农村集体聚餐食品安全工作进行督查的通知》</w:t>
      </w:r>
      <w:r>
        <w:rPr>
          <w:rFonts w:hint="eastAsia" w:ascii="仿宋" w:hAnsi="仿宋" w:eastAsia="仿宋" w:cs="仿宋"/>
          <w:sz w:val="32"/>
          <w:szCs w:val="32"/>
          <w:lang w:val="en-US" w:eastAsia="zh-CN"/>
        </w:rPr>
        <w:t>，并随机抽查了对7个乡镇，基本都按要求完成了整改任务。</w:t>
      </w:r>
    </w:p>
    <w:p>
      <w:pPr>
        <w:keepNext w:val="0"/>
        <w:keepLines w:val="0"/>
        <w:pageBreakBefore w:val="0"/>
        <w:widowControl w:val="0"/>
        <w:numPr>
          <w:ilvl w:val="0"/>
          <w:numId w:val="0"/>
        </w:numPr>
        <w:kinsoku/>
        <w:wordWrap/>
        <w:overflowPunct/>
        <w:topLinePunct/>
        <w:autoSpaceDE/>
        <w:autoSpaceDN/>
        <w:bidi w:val="0"/>
        <w:adjustRightInd/>
        <w:snapToGrid/>
        <w:spacing w:before="0" w:line="560" w:lineRule="exact"/>
        <w:ind w:right="0" w:firstLine="642"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5、关于“对节日假期、线上平台等高风险时段、领域监管不力”的问题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kern w:val="1"/>
          <w:sz w:val="32"/>
          <w:szCs w:val="32"/>
          <w:lang w:val="en-US" w:eastAsia="zh-CN"/>
        </w:rPr>
        <w:t xml:space="preserve"> 整改进展情况：</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对《新野县市场监督管理局2025年食品监督抽检计划》予以修订，增加网上食品销售和节假日监督抽检批次。目前已开展线上监督抽检5批次，同时已经在食品安全智慧监管系统上下达中秋专项抽检任务开展专项抽检。</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已全面排查网络餐饮经营单位5</w:t>
      </w:r>
      <w:r>
        <w:rPr>
          <w:rFonts w:hint="eastAsia" w:ascii="仿宋" w:hAnsi="仿宋" w:eastAsia="仿宋" w:cs="仿宋"/>
          <w:color w:val="auto"/>
          <w:sz w:val="32"/>
          <w:szCs w:val="32"/>
        </w:rPr>
        <w:t>00余家次，</w:t>
      </w:r>
      <w:r>
        <w:rPr>
          <w:rFonts w:hint="eastAsia" w:ascii="仿宋" w:hAnsi="仿宋" w:eastAsia="仿宋" w:cs="仿宋"/>
          <w:color w:val="auto"/>
          <w:sz w:val="32"/>
          <w:szCs w:val="32"/>
          <w:lang w:val="en-US" w:eastAsia="zh-CN"/>
        </w:rPr>
        <w:t>开展第三方网络餐饮平台行政</w:t>
      </w:r>
      <w:r>
        <w:rPr>
          <w:rFonts w:hint="eastAsia" w:ascii="仿宋" w:hAnsi="仿宋" w:eastAsia="仿宋" w:cs="仿宋"/>
          <w:color w:val="auto"/>
          <w:sz w:val="32"/>
          <w:szCs w:val="32"/>
          <w:lang w:eastAsia="zh-CN"/>
        </w:rPr>
        <w:t>约谈、网络</w:t>
      </w:r>
      <w:r>
        <w:rPr>
          <w:rFonts w:hint="eastAsia" w:ascii="仿宋" w:hAnsi="仿宋" w:eastAsia="仿宋" w:cs="仿宋"/>
          <w:color w:val="auto"/>
          <w:sz w:val="32"/>
          <w:szCs w:val="32"/>
          <w:lang w:val="en-US" w:eastAsia="zh-CN"/>
        </w:rPr>
        <w:t>餐饮</w:t>
      </w:r>
      <w:r>
        <w:rPr>
          <w:rFonts w:hint="eastAsia" w:ascii="仿宋" w:hAnsi="仿宋" w:eastAsia="仿宋" w:cs="仿宋"/>
          <w:color w:val="auto"/>
          <w:sz w:val="32"/>
          <w:szCs w:val="32"/>
          <w:lang w:eastAsia="zh-CN"/>
        </w:rPr>
        <w:t>经营者培训</w:t>
      </w:r>
      <w:r>
        <w:rPr>
          <w:rFonts w:hint="eastAsia" w:ascii="仿宋" w:hAnsi="仿宋" w:eastAsia="仿宋" w:cs="仿宋"/>
          <w:color w:val="auto"/>
          <w:sz w:val="32"/>
          <w:szCs w:val="32"/>
          <w:lang w:val="en-US" w:eastAsia="zh-CN"/>
        </w:rPr>
        <w:t>会议3次。</w:t>
      </w:r>
      <w:r>
        <w:rPr>
          <w:rFonts w:hint="eastAsia" w:ascii="仿宋" w:hAnsi="仿宋" w:eastAsia="仿宋" w:cs="仿宋"/>
          <w:color w:val="auto"/>
          <w:sz w:val="32"/>
          <w:szCs w:val="32"/>
        </w:rPr>
        <w:t>排除食品安全隐患20余个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立案查处3个</w:t>
      </w:r>
      <w:r>
        <w:rPr>
          <w:rFonts w:hint="eastAsia" w:ascii="仿宋" w:hAnsi="仿宋" w:eastAsia="仿宋" w:cs="仿宋"/>
          <w:color w:val="auto"/>
          <w:sz w:val="32"/>
          <w:szCs w:val="32"/>
        </w:rPr>
        <w:t>。</w:t>
      </w: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lang w:val="en-US" w:eastAsia="zh-CN"/>
        </w:rPr>
        <w:t>制定了《新野县网络餐饮“外卖骑手”食品安全社会监督员制度》，完善了网络外卖食品安全社会共治机制。</w:t>
      </w:r>
      <w:r>
        <w:rPr>
          <w:rFonts w:hint="eastAsia" w:ascii="仿宋" w:hAnsi="仿宋" w:eastAsia="仿宋" w:cs="仿宋"/>
          <w:b/>
          <w:bCs/>
          <w:color w:val="auto"/>
          <w:sz w:val="32"/>
          <w:szCs w:val="32"/>
          <w:lang w:val="en-US" w:eastAsia="zh-CN"/>
        </w:rPr>
        <w:t>四是</w:t>
      </w:r>
      <w:r>
        <w:rPr>
          <w:rFonts w:hint="eastAsia" w:ascii="仿宋" w:hAnsi="仿宋" w:eastAsia="仿宋" w:cs="仿宋"/>
          <w:color w:val="auto"/>
          <w:sz w:val="32"/>
          <w:szCs w:val="32"/>
          <w:lang w:val="en-US" w:eastAsia="zh-CN"/>
        </w:rPr>
        <w:t>建立建成食品示范街区2条、网络餐饮食品示范店30家，形成示范效应。</w:t>
      </w:r>
    </w:p>
    <w:p>
      <w:pPr>
        <w:keepNext w:val="0"/>
        <w:keepLines w:val="0"/>
        <w:pageBreakBefore w:val="0"/>
        <w:widowControl w:val="0"/>
        <w:numPr>
          <w:ilvl w:val="0"/>
          <w:numId w:val="0"/>
        </w:numPr>
        <w:kinsoku/>
        <w:wordWrap/>
        <w:overflowPunct/>
        <w:topLinePunct/>
        <w:autoSpaceDE/>
        <w:autoSpaceDN/>
        <w:bidi w:val="0"/>
        <w:adjustRightInd/>
        <w:snapToGrid/>
        <w:spacing w:before="0" w:line="560" w:lineRule="exact"/>
        <w:ind w:right="0" w:rightChars="0" w:firstLine="640"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bCs/>
          <w:sz w:val="32"/>
          <w:szCs w:val="32"/>
          <w:lang w:val="en-US" w:eastAsia="zh-CN"/>
        </w:rPr>
        <w:t>、关于“案件材料缺失”的问题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olor w:val="auto"/>
          <w:sz w:val="32"/>
          <w:szCs w:val="32"/>
          <w:lang w:val="en-US" w:eastAsia="zh-CN"/>
        </w:rPr>
        <w:t>整改进展情况：</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出台《新野县市场监督管理局行政处罚案卷管理制度（暂行）》，严格执法办案流程，进一步明确行政处罚案件过程中案件归档责任和流程，加强行政处罚案卷管理，2025年上半年案卷已按照文件要求归档完毕。</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强化行政执法监督，规范行政执法行为，按照&lt;河南省《河南省行政执法案卷评查工作办法》》、《河南省行政执法案卷立卷规范》、《河南省行政执法案卷评查标准》等文件的规定，7月15日组织机关纪检、财务股室负责人每半年对行政处罚案卷进行案卷评查，指导行政执法逐步业务化、专业化、规范化。</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案件丢失问题局机关纪委正在调查落实处理。</w:t>
      </w:r>
    </w:p>
    <w:p>
      <w:pPr>
        <w:keepNext w:val="0"/>
        <w:keepLines w:val="0"/>
        <w:pageBreakBefore w:val="0"/>
        <w:widowControl w:val="0"/>
        <w:numPr>
          <w:ilvl w:val="-1"/>
          <w:numId w:val="0"/>
        </w:numPr>
        <w:kinsoku/>
        <w:wordWrap/>
        <w:overflowPunct/>
        <w:topLinePunct/>
        <w:autoSpaceDE/>
        <w:autoSpaceDN/>
        <w:bidi w:val="0"/>
        <w:adjustRightInd/>
        <w:snapToGrid/>
        <w:spacing w:before="0" w:line="560" w:lineRule="exact"/>
        <w:ind w:left="0" w:right="0" w:rightChars="0" w:firstLine="642"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7、关于“执法程序不规范，存在以完成罚款任务为目的，先罚款，后立案的现象”的问题</w:t>
      </w:r>
    </w:p>
    <w:p>
      <w:pPr>
        <w:keepNext w:val="0"/>
        <w:keepLines w:val="0"/>
        <w:pageBreakBefore w:val="0"/>
        <w:widowControl w:val="0"/>
        <w:numPr>
          <w:ilvl w:val="-1"/>
          <w:numId w:val="0"/>
        </w:numPr>
        <w:kinsoku/>
        <w:wordWrap/>
        <w:overflowPunct/>
        <w:topLinePunct/>
        <w:autoSpaceDE/>
        <w:autoSpaceDN/>
        <w:bidi w:val="0"/>
        <w:adjustRightInd/>
        <w:snapToGrid/>
        <w:spacing w:before="0" w:line="560" w:lineRule="exact"/>
        <w:ind w:left="0" w:right="0" w:rightChars="0" w:firstLine="640"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color w:val="auto"/>
          <w:sz w:val="32"/>
          <w:szCs w:val="32"/>
          <w:lang w:val="en-US" w:eastAsia="zh-CN"/>
        </w:rPr>
        <w:t>整改进展情况：一</w:t>
      </w:r>
      <w:r>
        <w:rPr>
          <w:rFonts w:hint="eastAsia" w:ascii="仿宋" w:hAnsi="仿宋" w:eastAsia="仿宋" w:cs="仿宋"/>
          <w:b/>
          <w:bCs/>
          <w:sz w:val="32"/>
          <w:szCs w:val="32"/>
          <w:lang w:val="en-US" w:eastAsia="zh-CN"/>
        </w:rPr>
        <w:t>是</w:t>
      </w:r>
      <w:r>
        <w:rPr>
          <w:rFonts w:hint="eastAsia" w:ascii="仿宋" w:hAnsi="仿宋" w:eastAsia="仿宋" w:cs="仿宋"/>
          <w:b w:val="0"/>
          <w:bCs w:val="0"/>
          <w:i w:val="0"/>
          <w:color w:val="000000"/>
          <w:kern w:val="0"/>
          <w:sz w:val="32"/>
          <w:szCs w:val="32"/>
          <w:u w:val="none"/>
          <w:lang w:val="en-US" w:eastAsia="zh-CN"/>
        </w:rPr>
        <w:t>对相关监管人员进行了问责，</w:t>
      </w:r>
      <w:r>
        <w:rPr>
          <w:rFonts w:hint="eastAsia" w:ascii="仿宋" w:hAnsi="仿宋" w:eastAsia="仿宋" w:cs="仿宋"/>
          <w:sz w:val="32"/>
          <w:szCs w:val="32"/>
          <w:lang w:val="en-US" w:eastAsia="zh-CN"/>
        </w:rPr>
        <w:t>8月25日县市场监管局机关纪委对负有直接领导责任的汉华市场监管所长胡培强进行了提醒谈话。5月16日县纪委驻工信局纪检组已对负有直接领导责任的歪子市场监管所长张斌进行了诫勉谈话。</w:t>
      </w:r>
      <w:r>
        <w:rPr>
          <w:rFonts w:hint="eastAsia" w:ascii="仿宋" w:hAnsi="仿宋" w:eastAsia="仿宋" w:cs="仿宋"/>
          <w:b/>
          <w:bCs/>
          <w:sz w:val="32"/>
          <w:szCs w:val="32"/>
          <w:lang w:val="en-US" w:eastAsia="zh-CN"/>
        </w:rPr>
        <w:t>二</w:t>
      </w:r>
      <w:r>
        <w:rPr>
          <w:rFonts w:hint="eastAsia" w:ascii="仿宋" w:hAnsi="仿宋" w:eastAsia="仿宋" w:cs="仿宋"/>
          <w:b/>
          <w:bCs/>
          <w:color w:val="auto"/>
          <w:kern w:val="0"/>
          <w:sz w:val="32"/>
          <w:szCs w:val="32"/>
          <w:lang w:val="en-US" w:eastAsia="zh-CN" w:bidi="ar-SA"/>
        </w:rPr>
        <w:t>是</w:t>
      </w:r>
      <w:r>
        <w:rPr>
          <w:rFonts w:hint="eastAsia" w:ascii="仿宋" w:hAnsi="仿宋" w:eastAsia="仿宋" w:cs="仿宋"/>
          <w:sz w:val="32"/>
          <w:szCs w:val="32"/>
          <w:lang w:val="en-US" w:eastAsia="zh-CN"/>
        </w:rPr>
        <w:t>已进一步加强单位职工、执法人员、党员干部的法制教育，通过集中学习、自学、法律顾问讲座等学习形式开展法律法规、政策解读等学习，更好的将学习与工作相结合，促进部门间协调工作，杜绝执法不规范，先罚款后立案现象。</w:t>
      </w:r>
    </w:p>
    <w:p>
      <w:pPr>
        <w:keepNext w:val="0"/>
        <w:keepLines w:val="0"/>
        <w:pageBreakBefore w:val="0"/>
        <w:widowControl w:val="0"/>
        <w:numPr>
          <w:ilvl w:val="0"/>
          <w:numId w:val="0"/>
        </w:numPr>
        <w:kinsoku/>
        <w:wordWrap/>
        <w:overflowPunct/>
        <w:topLinePunct/>
        <w:autoSpaceDE/>
        <w:autoSpaceDN/>
        <w:bidi w:val="0"/>
        <w:adjustRightInd/>
        <w:snapToGrid/>
        <w:spacing w:before="0" w:line="560" w:lineRule="exact"/>
        <w:ind w:right="0" w:rightChars="0" w:firstLine="642"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8、关于“市场监管局基层站所存在以罚代管等廉政风险”的问题</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整改进展情况：</w:t>
      </w:r>
      <w:r>
        <w:rPr>
          <w:rFonts w:hint="eastAsia" w:ascii="仿宋" w:hAnsi="仿宋" w:eastAsia="仿宋" w:cs="仿宋"/>
          <w:b/>
          <w:bCs/>
          <w:color w:val="auto"/>
          <w:sz w:val="32"/>
          <w:szCs w:val="32"/>
          <w:lang w:val="en-US" w:eastAsia="zh-CN"/>
        </w:rPr>
        <w:t>一是</w:t>
      </w:r>
      <w:r>
        <w:rPr>
          <w:rFonts w:hint="eastAsia" w:ascii="仿宋" w:hAnsi="仿宋" w:eastAsia="仿宋" w:cs="仿宋"/>
          <w:color w:val="auto"/>
          <w:kern w:val="0"/>
          <w:sz w:val="32"/>
          <w:szCs w:val="32"/>
          <w:lang w:val="en-US" w:eastAsia="zh-CN" w:bidi="ar-SA"/>
        </w:rPr>
        <w:t>已于4月24日随机抽取40户市场主体进行电话回访，开展问题线索征集；7月15日组织开展系统上半年执法案件评查活动。直属所已对相关问题做出情况说明。对于五星市场监督所在办理案件时，实际缴纳罚款金额与处罚决定书不一致问题，5月15日县纪委驻工信局纪检组对五星市场监管所长吴晓存在的监管失职问题及罚款多收少开问题进行了立案调查，6月24日县纪委对其给予党内警告处分。</w:t>
      </w:r>
      <w:r>
        <w:rPr>
          <w:rFonts w:hint="eastAsia" w:ascii="仿宋" w:hAnsi="仿宋" w:eastAsia="仿宋" w:cs="仿宋"/>
          <w:b/>
          <w:bCs/>
          <w:color w:val="auto"/>
          <w:kern w:val="0"/>
          <w:sz w:val="32"/>
          <w:szCs w:val="32"/>
          <w:lang w:val="en-US" w:eastAsia="zh-CN" w:bidi="ar-SA"/>
        </w:rPr>
        <w:t>二是</w:t>
      </w:r>
      <w:r>
        <w:rPr>
          <w:rFonts w:hint="eastAsia" w:ascii="仿宋" w:hAnsi="仿宋" w:eastAsia="仿宋" w:cs="仿宋"/>
          <w:b/>
          <w:bCs/>
          <w:sz w:val="32"/>
          <w:szCs w:val="32"/>
        </w:rPr>
        <w:t>强化廉政教育：</w:t>
      </w:r>
      <w:r>
        <w:rPr>
          <w:rFonts w:hint="eastAsia" w:ascii="仿宋" w:hAnsi="仿宋" w:eastAsia="仿宋" w:cs="仿宋"/>
          <w:sz w:val="32"/>
          <w:szCs w:val="32"/>
        </w:rPr>
        <w:t>丰富廉政教育形式，通过开展廉政专题</w:t>
      </w:r>
      <w:r>
        <w:rPr>
          <w:rFonts w:hint="eastAsia" w:ascii="仿宋" w:hAnsi="仿宋" w:eastAsia="仿宋" w:cs="仿宋"/>
          <w:sz w:val="32"/>
          <w:szCs w:val="32"/>
          <w:lang w:val="en-US" w:eastAsia="zh-CN"/>
        </w:rPr>
        <w:t>教育4</w:t>
      </w:r>
      <w:r>
        <w:rPr>
          <w:rFonts w:hint="eastAsia" w:ascii="仿宋" w:hAnsi="仿宋" w:eastAsia="仿宋" w:cs="仿宋"/>
          <w:sz w:val="32"/>
          <w:szCs w:val="32"/>
        </w:rPr>
        <w:t>次、观看警示教育片</w:t>
      </w:r>
      <w:r>
        <w:rPr>
          <w:rFonts w:hint="eastAsia" w:ascii="仿宋" w:hAnsi="仿宋" w:eastAsia="仿宋" w:cs="仿宋"/>
          <w:sz w:val="32"/>
          <w:szCs w:val="32"/>
          <w:lang w:val="en-US" w:eastAsia="zh-CN"/>
        </w:rPr>
        <w:t>12</w:t>
      </w:r>
      <w:r>
        <w:rPr>
          <w:rFonts w:hint="eastAsia" w:ascii="仿宋" w:hAnsi="仿宋" w:eastAsia="仿宋" w:cs="仿宋"/>
          <w:sz w:val="32"/>
          <w:szCs w:val="32"/>
        </w:rPr>
        <w:t>部、参观廉政教育基地</w:t>
      </w:r>
      <w:r>
        <w:rPr>
          <w:rFonts w:hint="eastAsia" w:ascii="仿宋" w:hAnsi="仿宋" w:eastAsia="仿宋" w:cs="仿宋"/>
          <w:sz w:val="32"/>
          <w:szCs w:val="32"/>
          <w:lang w:val="en-US" w:eastAsia="zh-CN"/>
        </w:rPr>
        <w:t>1</w:t>
      </w:r>
      <w:r>
        <w:rPr>
          <w:rFonts w:hint="eastAsia" w:ascii="仿宋" w:hAnsi="仿宋" w:eastAsia="仿宋" w:cs="仿宋"/>
          <w:sz w:val="32"/>
          <w:szCs w:val="32"/>
        </w:rPr>
        <w:t>次等方式，增强基层所工作人员廉洁从政意识。同时，结合身边典型案例，进行案例剖析和警示教育，引导工作人员吸取教训，自觉遵守廉洁纪律。</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全面排查廉政风险：</w:t>
      </w:r>
      <w:r>
        <w:rPr>
          <w:rFonts w:hint="eastAsia" w:ascii="仿宋" w:hAnsi="仿宋" w:eastAsia="仿宋" w:cs="仿宋"/>
          <w:sz w:val="32"/>
          <w:szCs w:val="32"/>
        </w:rPr>
        <w:t>组织基层所对所有岗位和工作环节进行廉政风险再排查，共梳理出廉政风险点</w:t>
      </w:r>
      <w:r>
        <w:rPr>
          <w:rFonts w:hint="eastAsia" w:ascii="仿宋" w:hAnsi="仿宋" w:eastAsia="仿宋" w:cs="仿宋"/>
          <w:sz w:val="32"/>
          <w:szCs w:val="32"/>
          <w:lang w:val="en-US" w:eastAsia="zh-CN"/>
        </w:rPr>
        <w:t>14</w:t>
      </w:r>
      <w:r>
        <w:rPr>
          <w:rFonts w:hint="eastAsia" w:ascii="仿宋" w:hAnsi="仿宋" w:eastAsia="仿宋" w:cs="仿宋"/>
          <w:sz w:val="32"/>
          <w:szCs w:val="32"/>
        </w:rPr>
        <w:t>个，其中高风险点</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个，中风险点 </w:t>
      </w:r>
      <w:r>
        <w:rPr>
          <w:rFonts w:hint="eastAsia" w:ascii="仿宋" w:hAnsi="仿宋" w:eastAsia="仿宋" w:cs="仿宋"/>
          <w:sz w:val="32"/>
          <w:szCs w:val="32"/>
          <w:lang w:val="en-US" w:eastAsia="zh-CN"/>
        </w:rPr>
        <w:t>9</w:t>
      </w:r>
      <w:r>
        <w:rPr>
          <w:rFonts w:hint="eastAsia" w:ascii="仿宋" w:hAnsi="仿宋" w:eastAsia="仿宋" w:cs="仿宋"/>
          <w:sz w:val="32"/>
          <w:szCs w:val="32"/>
        </w:rPr>
        <w:t>个，低风险点</w:t>
      </w:r>
      <w:r>
        <w:rPr>
          <w:rFonts w:hint="eastAsia" w:ascii="仿宋" w:hAnsi="仿宋" w:eastAsia="仿宋" w:cs="仿宋"/>
          <w:sz w:val="32"/>
          <w:szCs w:val="32"/>
          <w:lang w:val="en-US" w:eastAsia="zh-CN"/>
        </w:rPr>
        <w:t>2</w:t>
      </w:r>
      <w:r>
        <w:rPr>
          <w:rFonts w:hint="eastAsia" w:ascii="仿宋" w:hAnsi="仿宋" w:eastAsia="仿宋" w:cs="仿宋"/>
          <w:sz w:val="32"/>
          <w:szCs w:val="32"/>
        </w:rPr>
        <w:t>个。针对不同风险点，制定相应防控措施</w:t>
      </w:r>
      <w:r>
        <w:rPr>
          <w:rFonts w:hint="eastAsia" w:ascii="仿宋" w:hAnsi="仿宋" w:eastAsia="仿宋" w:cs="仿宋"/>
          <w:sz w:val="32"/>
          <w:szCs w:val="32"/>
          <w:lang w:val="en-US" w:eastAsia="zh-CN"/>
        </w:rPr>
        <w:t>28</w:t>
      </w:r>
      <w:r>
        <w:rPr>
          <w:rFonts w:hint="eastAsia" w:ascii="仿宋" w:hAnsi="仿宋" w:eastAsia="仿宋" w:cs="仿宋"/>
          <w:sz w:val="32"/>
          <w:szCs w:val="32"/>
        </w:rPr>
        <w:t>条，明确责任人和防控要求，确保廉政风险可控。</w:t>
      </w:r>
      <w:r>
        <w:rPr>
          <w:rFonts w:hint="eastAsia" w:ascii="仿宋" w:hAnsi="仿宋" w:eastAsia="仿宋" w:cs="仿宋"/>
          <w:b/>
          <w:bCs/>
          <w:sz w:val="32"/>
          <w:szCs w:val="32"/>
          <w:lang w:val="en-US" w:eastAsia="zh-CN"/>
        </w:rPr>
        <w:t>四是</w:t>
      </w:r>
      <w:r>
        <w:rPr>
          <w:rFonts w:hint="eastAsia" w:ascii="仿宋" w:hAnsi="仿宋" w:eastAsia="仿宋" w:cs="仿宋"/>
          <w:b/>
          <w:bCs/>
          <w:sz w:val="32"/>
          <w:szCs w:val="32"/>
        </w:rPr>
        <w:t>完善内部监督机制：</w:t>
      </w:r>
      <w:r>
        <w:rPr>
          <w:rFonts w:hint="eastAsia" w:ascii="仿宋" w:hAnsi="仿宋" w:eastAsia="仿宋" w:cs="仿宋"/>
          <w:sz w:val="32"/>
          <w:szCs w:val="32"/>
        </w:rPr>
        <w:t>成立内部监督工作小组，定期对基层所执法行为、行政处罚案件办理、经费使用等情况进行监督检查。今年以来，已开展监督检查</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次，发现并整改问题 </w:t>
      </w:r>
      <w:r>
        <w:rPr>
          <w:rFonts w:hint="eastAsia" w:ascii="仿宋" w:hAnsi="仿宋" w:eastAsia="仿宋" w:cs="仿宋"/>
          <w:sz w:val="32"/>
          <w:szCs w:val="32"/>
          <w:lang w:val="en-US" w:eastAsia="zh-CN"/>
        </w:rPr>
        <w:t>7</w:t>
      </w:r>
      <w:r>
        <w:rPr>
          <w:rFonts w:hint="eastAsia" w:ascii="仿宋" w:hAnsi="仿宋" w:eastAsia="仿宋" w:cs="仿宋"/>
          <w:sz w:val="32"/>
          <w:szCs w:val="32"/>
        </w:rPr>
        <w:t>个。建立健全投诉举报处理机制，畅通群众监督渠道，对群众反映的问题及时进行调查处理，严肃追究违规违纪人员责任。</w:t>
      </w:r>
    </w:p>
    <w:p>
      <w:pPr>
        <w:keepNext w:val="0"/>
        <w:keepLines w:val="0"/>
        <w:pageBreakBefore w:val="0"/>
        <w:widowControl w:val="0"/>
        <w:numPr>
          <w:ilvl w:val="0"/>
          <w:numId w:val="0"/>
        </w:numPr>
        <w:kinsoku/>
        <w:wordWrap/>
        <w:overflowPunct/>
        <w:topLinePunct/>
        <w:autoSpaceDE/>
        <w:autoSpaceDN/>
        <w:bidi w:val="0"/>
        <w:adjustRightInd/>
        <w:snapToGrid/>
        <w:spacing w:before="0" w:line="560" w:lineRule="exact"/>
        <w:ind w:right="0" w:rightChars="0" w:firstLine="642"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9、关于“部分人员不能胜任食品安全协管员”的问题</w:t>
      </w:r>
    </w:p>
    <w:p>
      <w:pPr>
        <w:keepNext w:val="0"/>
        <w:keepLines w:val="0"/>
        <w:pageBreakBefore w:val="0"/>
        <w:widowControl w:val="0"/>
        <w:numPr>
          <w:ilvl w:val="0"/>
          <w:numId w:val="0"/>
        </w:numPr>
        <w:kinsoku/>
        <w:wordWrap/>
        <w:overflowPunct/>
        <w:topLinePunct/>
        <w:autoSpaceDE/>
        <w:autoSpaceDN/>
        <w:bidi w:val="0"/>
        <w:adjustRightInd/>
        <w:snapToGrid/>
        <w:spacing w:before="0" w:line="560" w:lineRule="exact"/>
        <w:ind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整改进展情况：</w:t>
      </w: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lang w:val="en-US" w:eastAsia="zh-CN"/>
        </w:rPr>
        <w:t>督促施庵所作出整改，已将该人员辞退。</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kern w:val="0"/>
          <w:sz w:val="32"/>
          <w:szCs w:val="32"/>
          <w:lang w:val="en-US" w:eastAsia="zh-CN" w:bidi="ar-SA"/>
        </w:rPr>
        <w:t>出台《关于进一步规范临时劳务用工管理的通知》，规范了临时工用工行为。</w:t>
      </w:r>
    </w:p>
    <w:p>
      <w:pPr>
        <w:pStyle w:val="8"/>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val="0"/>
          <w:color w:val="auto"/>
          <w:sz w:val="32"/>
          <w:szCs w:val="32"/>
          <w:lang w:val="en" w:eastAsia="zh-CN"/>
        </w:rPr>
      </w:pPr>
      <w:r>
        <w:rPr>
          <w:rFonts w:hint="eastAsia" w:ascii="仿宋" w:hAnsi="仿宋" w:eastAsia="仿宋" w:cs="仿宋"/>
          <w:b/>
          <w:bCs w:val="0"/>
          <w:color w:val="FF0000"/>
          <w:sz w:val="32"/>
          <w:szCs w:val="32"/>
          <w:lang w:val="en-US" w:eastAsia="zh-CN"/>
        </w:rPr>
        <w:t xml:space="preserve"> </w:t>
      </w:r>
      <w:r>
        <w:rPr>
          <w:rFonts w:hint="eastAsia" w:ascii="仿宋" w:hAnsi="仿宋" w:eastAsia="仿宋" w:cs="仿宋"/>
          <w:b/>
          <w:bCs w:val="0"/>
          <w:color w:val="auto"/>
          <w:sz w:val="32"/>
          <w:szCs w:val="32"/>
          <w:lang w:val="en" w:eastAsia="zh-CN"/>
        </w:rPr>
        <w:t>（二）对长期整改任务采取的重要举措和取得的阶段性成效；</w:t>
      </w:r>
    </w:p>
    <w:p>
      <w:pPr>
        <w:keepNext w:val="0"/>
        <w:keepLines w:val="0"/>
        <w:pageBreakBefore w:val="0"/>
        <w:widowControl w:val="0"/>
        <w:numPr>
          <w:ilvl w:val="0"/>
          <w:numId w:val="0"/>
        </w:numPr>
        <w:kinsoku/>
        <w:wordWrap/>
        <w:overflowPunct/>
        <w:topLinePunct/>
        <w:autoSpaceDE/>
        <w:autoSpaceDN/>
        <w:bidi w:val="0"/>
        <w:adjustRightInd/>
        <w:snapToGrid/>
        <w:spacing w:before="0" w:line="560" w:lineRule="exact"/>
        <w:ind w:right="0" w:firstLine="640"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 xml:space="preserve"> 1</w:t>
      </w:r>
      <w:r>
        <w:rPr>
          <w:rFonts w:hint="eastAsia" w:ascii="仿宋" w:hAnsi="仿宋" w:eastAsia="仿宋" w:cs="仿宋"/>
          <w:b/>
          <w:bCs/>
          <w:sz w:val="32"/>
          <w:szCs w:val="32"/>
          <w:lang w:val="en-US" w:eastAsia="zh-CN"/>
        </w:rPr>
        <w:t>、关于“市场监管局检测设备未能有效利用”的问题</w:t>
      </w:r>
    </w:p>
    <w:p>
      <w:pPr>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right="0" w:rightChars="0" w:firstLine="640" w:firstLineChars="200"/>
        <w:jc w:val="left"/>
        <w:textAlignment w:val="auto"/>
        <w:outlineLvl w:val="9"/>
        <w:rPr>
          <w:rFonts w:hint="default" w:ascii="仿宋" w:hAnsi="仿宋" w:eastAsia="仿宋" w:cs="仿宋"/>
          <w:color w:val="auto"/>
          <w:kern w:val="1"/>
          <w:sz w:val="32"/>
          <w:szCs w:val="32"/>
          <w:lang w:val="en-US" w:eastAsia="zh-CN"/>
        </w:rPr>
      </w:pPr>
      <w:r>
        <w:rPr>
          <w:rFonts w:hint="eastAsia" w:ascii="仿宋" w:hAnsi="仿宋" w:eastAsia="仿宋" w:cs="Times New Roman"/>
          <w:color w:val="auto"/>
          <w:sz w:val="32"/>
          <w:szCs w:val="32"/>
          <w:lang w:val="en-US" w:eastAsia="zh-CN"/>
        </w:rPr>
        <w:t>整改进展情况：</w:t>
      </w:r>
      <w:r>
        <w:rPr>
          <w:rFonts w:hint="eastAsia" w:ascii="仿宋" w:hAnsi="仿宋" w:eastAsia="仿宋" w:cs="Times New Roman"/>
          <w:b/>
          <w:bCs/>
          <w:color w:val="auto"/>
          <w:sz w:val="32"/>
          <w:szCs w:val="32"/>
          <w:lang w:val="en-US" w:eastAsia="zh-CN"/>
        </w:rPr>
        <w:t>一是</w:t>
      </w:r>
      <w:r>
        <w:rPr>
          <w:rFonts w:hint="eastAsia" w:ascii="仿宋" w:hAnsi="仿宋" w:eastAsia="仿宋" w:cs="Times New Roman"/>
          <w:color w:val="auto"/>
          <w:sz w:val="32"/>
          <w:szCs w:val="32"/>
          <w:highlight w:val="none"/>
          <w:lang w:val="en-US" w:eastAsia="zh-CN"/>
        </w:rPr>
        <w:t>经排查，设备限制原因为农业农村局转交的设备，经豫检集团和河南省东西电子有限公司专业技术人员检定评估：原子荧光分光光度计和气相色谱仪为30年前老设备，属淘汰设备，无法开机，不能正常使用，且气相色谱仪检测器已坏，现已无可匹配适用的检测器；原子吸收光谱仪和液相色谱仪为10年前购置的设备，农业农村局在转交检测中心前一直未开封使用，且仅移交2台主机，无电脑（工作站）及其他附件，只能检测7项左右农残项目，与开展工作所需35项参数要求差距很大，改造升级费用较大，使用性价比很低。鉴于此，局多方筹措资金、申请项目，对设备进行升级改造或购置新设备，同时</w:t>
      </w:r>
      <w:r>
        <w:rPr>
          <w:rFonts w:hint="eastAsia" w:ascii="仿宋" w:hAnsi="仿宋" w:eastAsia="仿宋" w:cs="Times New Roman"/>
          <w:color w:val="auto"/>
          <w:sz w:val="32"/>
          <w:szCs w:val="32"/>
          <w:lang w:val="en-US" w:eastAsia="zh-CN"/>
        </w:rPr>
        <w:t>对检测中心工作人员进行了业务培训，提高业务素质，继续实行抽检分离，监督抽查任务由县检测中心承担抽样任务，根据检测中心的检测能力，继续开展产品委托检验工作</w:t>
      </w:r>
      <w:r>
        <w:rPr>
          <w:rFonts w:hint="eastAsia" w:ascii="仿宋" w:hAnsi="仿宋" w:eastAsia="仿宋" w:cs="Times New Roman"/>
          <w:color w:val="auto"/>
          <w:sz w:val="32"/>
          <w:szCs w:val="32"/>
          <w:highlight w:val="none"/>
          <w:lang w:val="en-US" w:eastAsia="zh-CN"/>
        </w:rPr>
        <w:t>。</w:t>
      </w:r>
      <w:r>
        <w:rPr>
          <w:rFonts w:hint="eastAsia" w:ascii="仿宋" w:hAnsi="仿宋" w:eastAsia="仿宋" w:cs="Times New Roman"/>
          <w:b/>
          <w:bCs/>
          <w:color w:val="auto"/>
          <w:sz w:val="32"/>
          <w:szCs w:val="32"/>
          <w:lang w:val="en-US" w:eastAsia="zh-CN"/>
        </w:rPr>
        <w:t>二是</w:t>
      </w:r>
      <w:r>
        <w:rPr>
          <w:rFonts w:hint="eastAsia" w:ascii="仿宋" w:hAnsi="仿宋" w:eastAsia="仿宋" w:cs="Times New Roman"/>
          <w:color w:val="auto"/>
          <w:sz w:val="32"/>
          <w:szCs w:val="32"/>
        </w:rPr>
        <w:t>对巡察组反馈“多数案件以责令改正和免于处罚处理”问题进行了核查，经查，涉及“责令改正和免于处罚”的案件属于食品抽检不合格案件</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lang w:val="en-US" w:eastAsia="zh-CN"/>
        </w:rPr>
        <w:t>此类案件</w:t>
      </w:r>
      <w:r>
        <w:rPr>
          <w:rFonts w:hint="eastAsia" w:ascii="仿宋" w:hAnsi="仿宋" w:eastAsia="仿宋" w:cs="Times New Roman"/>
          <w:color w:val="auto"/>
          <w:sz w:val="32"/>
          <w:szCs w:val="32"/>
        </w:rPr>
        <w:t>按照《关于印发河南省市场监督管理实施“四张清单”推进包容审慎监管规定的通知》</w:t>
      </w:r>
      <w:r>
        <w:rPr>
          <w:rFonts w:hint="eastAsia" w:ascii="仿宋" w:hAnsi="仿宋" w:eastAsia="仿宋" w:cs="Times New Roman"/>
          <w:color w:val="auto"/>
          <w:sz w:val="32"/>
          <w:szCs w:val="32"/>
          <w:lang w:val="en-US" w:eastAsia="zh-CN"/>
        </w:rPr>
        <w:t>和</w:t>
      </w:r>
      <w:r>
        <w:rPr>
          <w:rFonts w:hint="eastAsia" w:ascii="仿宋" w:hAnsi="仿宋" w:eastAsia="仿宋" w:cs="Times New Roman"/>
          <w:color w:val="auto"/>
          <w:sz w:val="32"/>
          <w:szCs w:val="32"/>
        </w:rPr>
        <w:t>《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要求</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lang w:val="en-US" w:eastAsia="zh-CN"/>
        </w:rPr>
        <w:t>符合不予处罚情形。</w:t>
      </w:r>
    </w:p>
    <w:p>
      <w:pPr>
        <w:keepNext w:val="0"/>
        <w:keepLines w:val="0"/>
        <w:pageBreakBefore w:val="0"/>
        <w:widowControl w:val="0"/>
        <w:numPr>
          <w:ilvl w:val="0"/>
          <w:numId w:val="0"/>
        </w:numPr>
        <w:kinsoku/>
        <w:wordWrap/>
        <w:overflowPunct/>
        <w:topLinePunct/>
        <w:autoSpaceDE/>
        <w:autoSpaceDN/>
        <w:bidi w:val="0"/>
        <w:adjustRightInd/>
        <w:snapToGrid/>
        <w:spacing w:before="0" w:line="560" w:lineRule="exact"/>
        <w:ind w:right="0" w:rightChars="0" w:firstLine="642"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2、关于“基层执法力量薄弱”的问题</w:t>
      </w:r>
    </w:p>
    <w:p>
      <w:pPr>
        <w:keepNext w:val="0"/>
        <w:keepLines w:val="0"/>
        <w:pageBreakBefore w:val="0"/>
        <w:widowControl w:val="0"/>
        <w:numPr>
          <w:ilvl w:val="0"/>
          <w:numId w:val="0"/>
        </w:numPr>
        <w:kinsoku/>
        <w:wordWrap/>
        <w:overflowPunct/>
        <w:topLinePunct/>
        <w:autoSpaceDE/>
        <w:autoSpaceDN/>
        <w:bidi w:val="0"/>
        <w:adjustRightInd/>
        <w:snapToGrid/>
        <w:spacing w:before="0" w:line="600" w:lineRule="exact"/>
        <w:ind w:left="160" w:leftChars="0" w:right="0" w:rightChars="0" w:firstLine="640" w:firstLineChars="200"/>
        <w:textAlignment w:val="auto"/>
        <w:outlineLvl w:val="9"/>
        <w:rPr>
          <w:rFonts w:hint="eastAsia" w:ascii="仿宋" w:hAnsi="仿宋" w:eastAsia="仿宋"/>
          <w:color w:val="FF0000"/>
          <w:sz w:val="32"/>
          <w:szCs w:val="32"/>
          <w:lang w:val="en-US" w:eastAsia="zh-CN"/>
        </w:rPr>
      </w:pPr>
      <w:r>
        <w:rPr>
          <w:rFonts w:hint="eastAsia" w:ascii="仿宋" w:hAnsi="仿宋" w:eastAsia="仿宋"/>
          <w:color w:val="auto"/>
          <w:sz w:val="32"/>
          <w:szCs w:val="32"/>
          <w:lang w:val="en-US" w:eastAsia="zh-CN"/>
        </w:rPr>
        <w:t>整改进展情况：</w:t>
      </w:r>
      <w:r>
        <w:rPr>
          <w:rFonts w:hint="eastAsia" w:ascii="仿宋" w:hAnsi="仿宋" w:eastAsia="仿宋"/>
          <w:b/>
          <w:bCs/>
          <w:color w:val="auto"/>
          <w:sz w:val="32"/>
          <w:szCs w:val="32"/>
          <w:lang w:val="en-US" w:eastAsia="zh-CN"/>
        </w:rPr>
        <w:t>一是</w:t>
      </w:r>
      <w:r>
        <w:rPr>
          <w:rFonts w:hint="eastAsia" w:ascii="仿宋" w:hAnsi="仿宋" w:eastAsia="仿宋"/>
          <w:color w:val="auto"/>
          <w:sz w:val="32"/>
          <w:szCs w:val="32"/>
          <w:lang w:val="en-US" w:eastAsia="zh-CN"/>
        </w:rPr>
        <w:t>已向县委编办申请招聘事业人员8名，考察已经完成。二是已向县委汇报并上报了关于加强乡镇市场监管所人员的报告，申请乡镇（街道）人民政府能够在公务员招录工作中为市场监管所新招录公务员，此外局机关已向辖区所补充执法人员4名。</w:t>
      </w:r>
    </w:p>
    <w:p>
      <w:pPr>
        <w:keepNext w:val="0"/>
        <w:keepLines w:val="0"/>
        <w:pageBreakBefore w:val="0"/>
        <w:widowControl w:val="0"/>
        <w:numPr>
          <w:ilvl w:val="0"/>
          <w:numId w:val="0"/>
        </w:numPr>
        <w:kinsoku/>
        <w:wordWrap/>
        <w:overflowPunct/>
        <w:topLinePunct/>
        <w:autoSpaceDE/>
        <w:autoSpaceDN/>
        <w:bidi w:val="0"/>
        <w:adjustRightInd/>
        <w:snapToGrid/>
        <w:spacing w:before="0" w:line="560" w:lineRule="exact"/>
        <w:ind w:left="16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欢迎广大干部群众对巡察整改落实情况进行监督。如有意见和建议，请及时向我们反映。联系方式：电话0377-66262692；邮政信箱新野县政府街47号县市场监督管理局；电子邮箱xyjcs101@163.com。</w:t>
      </w:r>
    </w:p>
    <w:p>
      <w:pPr>
        <w:keepNext w:val="0"/>
        <w:keepLines w:val="0"/>
        <w:pageBreakBefore w:val="0"/>
        <w:widowControl w:val="0"/>
        <w:kinsoku/>
        <w:wordWrap w:val="0"/>
        <w:overflowPunct/>
        <w:topLinePunct w:val="0"/>
        <w:autoSpaceDE/>
        <w:autoSpaceDN/>
        <w:bidi w:val="0"/>
        <w:adjustRightInd/>
        <w:snapToGrid/>
        <w:spacing w:line="560" w:lineRule="exact"/>
        <w:ind w:right="640"/>
        <w:jc w:val="right"/>
        <w:textAlignment w:val="auto"/>
        <w:rPr>
          <w:rFonts w:hint="eastAsia" w:ascii="仿宋" w:hAnsi="仿宋" w:eastAsia="仿宋" w:cs="仿宋"/>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中共</w:t>
      </w:r>
      <w:r>
        <w:rPr>
          <w:rFonts w:hint="eastAsia" w:ascii="仿宋" w:hAnsi="仿宋" w:eastAsia="仿宋" w:cs="仿宋"/>
          <w:b w:val="0"/>
          <w:bCs/>
          <w:sz w:val="32"/>
          <w:szCs w:val="32"/>
          <w:lang w:val="en-US" w:eastAsia="zh-CN"/>
        </w:rPr>
        <w:t>新野市场监督管理局</w:t>
      </w:r>
      <w:r>
        <w:rPr>
          <w:rFonts w:hint="eastAsia" w:ascii="仿宋" w:hAnsi="仿宋" w:eastAsia="仿宋" w:cs="仿宋"/>
          <w:b w:val="0"/>
          <w:bCs/>
          <w:sz w:val="32"/>
          <w:szCs w:val="32"/>
          <w:lang w:eastAsia="zh-CN"/>
        </w:rPr>
        <w:t xml:space="preserve">党组 </w:t>
      </w:r>
    </w:p>
    <w:p>
      <w:pPr>
        <w:keepNext w:val="0"/>
        <w:keepLines w:val="0"/>
        <w:pageBreakBefore w:val="0"/>
        <w:kinsoku/>
        <w:overflowPunct/>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lang w:val="en-US" w:eastAsia="zh-CN"/>
        </w:rPr>
        <w:t xml:space="preserve">            2025</w:t>
      </w:r>
      <w:r>
        <w:rPr>
          <w:rFonts w:hint="eastAsia" w:ascii="仿宋" w:hAnsi="仿宋" w:eastAsia="仿宋" w:cs="仿宋"/>
          <w:b w:val="0"/>
          <w:bCs/>
          <w:sz w:val="32"/>
          <w:szCs w:val="32"/>
          <w:lang w:eastAsia="zh-CN"/>
        </w:rPr>
        <w:t>年</w:t>
      </w:r>
      <w:r>
        <w:rPr>
          <w:rFonts w:hint="eastAsia" w:ascii="仿宋" w:hAnsi="仿宋" w:eastAsia="仿宋" w:cs="仿宋"/>
          <w:b w:val="0"/>
          <w:bCs/>
          <w:sz w:val="32"/>
          <w:szCs w:val="32"/>
          <w:lang w:val="en-US" w:eastAsia="zh-CN"/>
        </w:rPr>
        <w:t>10</w:t>
      </w:r>
      <w:r>
        <w:rPr>
          <w:rFonts w:hint="eastAsia" w:ascii="仿宋" w:hAnsi="仿宋" w:eastAsia="仿宋" w:cs="仿宋"/>
          <w:b w:val="0"/>
          <w:bCs/>
          <w:sz w:val="32"/>
          <w:szCs w:val="32"/>
          <w:lang w:eastAsia="zh-CN"/>
        </w:rPr>
        <w:t>月</w:t>
      </w:r>
      <w:r>
        <w:rPr>
          <w:rFonts w:hint="eastAsia" w:ascii="仿宋" w:hAnsi="仿宋" w:eastAsia="仿宋" w:cs="仿宋"/>
          <w:b w:val="0"/>
          <w:bCs/>
          <w:sz w:val="32"/>
          <w:szCs w:val="32"/>
          <w:lang w:val="en-US" w:eastAsia="zh-CN"/>
        </w:rPr>
        <w:t>17</w:t>
      </w:r>
      <w:r>
        <w:rPr>
          <w:rFonts w:hint="eastAsia" w:ascii="仿宋" w:hAnsi="仿宋" w:eastAsia="仿宋" w:cs="仿宋"/>
          <w:b w:val="0"/>
          <w:bCs/>
          <w:sz w:val="32"/>
          <w:szCs w:val="32"/>
          <w:lang w:eastAsia="zh-CN"/>
        </w:rPr>
        <w:t xml:space="preserve">日 </w:t>
      </w:r>
    </w:p>
    <w:sectPr>
      <w:footerReference r:id="rId3" w:type="default"/>
      <w:pgSz w:w="11906" w:h="16838"/>
      <w:pgMar w:top="1440" w:right="151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_GBK">
    <w:altName w:val="方正书宋_GBK"/>
    <w:panose1 w:val="03000509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2549525</wp:posOffset>
              </wp:positionH>
              <wp:positionV relativeFrom="paragraph">
                <wp:posOffset>0</wp:posOffset>
              </wp:positionV>
              <wp:extent cx="243840" cy="241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3840"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0.75pt;margin-top:0pt;height:19.05pt;width:19.2pt;mso-position-horizontal-relative:margin;z-index:251659264;mso-width-relative:page;mso-height-relative:page;" filled="f" stroked="f" coordsize="21600,21600" o:gfxdata="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1ouBLtYAAAAHAQAADwAAAAAA&#10;AAABACAAAAA4AAAAZHJzL2Rvd25yZXYueG1sUEsBAhQAFAAAAAgAh07iQDBCrZw4AgAAYQQAAA4A&#10;AAAAAAAAAQAgAAAAOwEAAGRycy9lMm9Eb2MueG1sUEsFBgAAAAAGAAYAWQEAAOUFAAAAAA==&#10;">
              <v:fill on="f" focussize="0,0"/>
              <v:stroke on="f" weight="0.5pt"/>
              <v:imagedata o:title=""/>
              <o:lock v:ext="edit" aspectratio="f"/>
              <v:textbox inset="0mm,0mm,0mm,0mm">
                <w:txbxContent>
                  <w:p>
                    <w:pPr>
                      <w:pStyle w:val="6"/>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C6F86"/>
    <w:rsid w:val="0AD06AC7"/>
    <w:rsid w:val="160128B3"/>
    <w:rsid w:val="167037FD"/>
    <w:rsid w:val="170F0C03"/>
    <w:rsid w:val="1A33579F"/>
    <w:rsid w:val="22346EEE"/>
    <w:rsid w:val="285A4AD7"/>
    <w:rsid w:val="32D762F9"/>
    <w:rsid w:val="343C4A44"/>
    <w:rsid w:val="3A2D55A1"/>
    <w:rsid w:val="4BD73163"/>
    <w:rsid w:val="4FDF0901"/>
    <w:rsid w:val="518155AF"/>
    <w:rsid w:val="53A564BA"/>
    <w:rsid w:val="559D609B"/>
    <w:rsid w:val="5843585C"/>
    <w:rsid w:val="5A3317D1"/>
    <w:rsid w:val="5F5F4A5B"/>
    <w:rsid w:val="704C6CF1"/>
    <w:rsid w:val="76946CFC"/>
    <w:rsid w:val="DD3DD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540" w:lineRule="exact"/>
      <w:ind w:firstLine="737"/>
    </w:pPr>
    <w:rPr>
      <w:rFonts w:ascii="仿宋" w:hAnsi="仿宋" w:cs="仿宋"/>
      <w:kern w:val="0"/>
      <w:sz w:val="36"/>
      <w:szCs w:val="36"/>
    </w:rPr>
  </w:style>
  <w:style w:type="paragraph" w:customStyle="1" w:styleId="3">
    <w:name w:val="Body Text First Indent 21"/>
    <w:basedOn w:val="4"/>
    <w:next w:val="5"/>
    <w:qFormat/>
    <w:uiPriority w:val="0"/>
    <w:pPr>
      <w:spacing w:after="120" w:afterLines="0"/>
      <w:ind w:firstLine="420" w:firstLineChars="200"/>
    </w:pPr>
    <w:rPr>
      <w:szCs w:val="24"/>
    </w:rPr>
  </w:style>
  <w:style w:type="paragraph" w:customStyle="1" w:styleId="4">
    <w:name w:val="Body Text Indent1"/>
    <w:basedOn w:val="1"/>
    <w:qFormat/>
    <w:uiPriority w:val="0"/>
    <w:pPr>
      <w:ind w:left="420" w:leftChars="200"/>
    </w:pPr>
    <w:rPr>
      <w:szCs w:val="20"/>
    </w:rPr>
  </w:style>
  <w:style w:type="paragraph" w:customStyle="1" w:styleId="5">
    <w:name w:val="Body Text First Indent1"/>
    <w:basedOn w:val="2"/>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4970</Words>
  <Characters>5104</Characters>
  <Lines>0</Lines>
  <Paragraphs>0</Paragraphs>
  <TotalTime>6</TotalTime>
  <ScaleCrop>false</ScaleCrop>
  <LinksUpToDate>false</LinksUpToDate>
  <CharactersWithSpaces>5169</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2025-10-15T00:01:00Z</dcterms:created>
  <dc:creator>Administrator</dc:creator>
  <cp:lastModifiedBy>user</cp:lastModifiedBy>
  <cp:lastPrinted>2025-10-17T00:21:00Z</cp:lastPrinted>
  <dcterms:modified xsi:type="dcterms:W3CDTF">2026-01-29T16:32:59Z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eyJoZGlkIjoiNDBjOTBjYWE0MmU2NjcwNzVmZjVkMTI2YWE3NzU3NTgiLCJ1c2VySWQiOiI0NTg5NzE5MjcifQ==</vt:lpwstr>
  </property>
  <property fmtid="{D5CDD505-2E9C-101B-9397-08002B2CF9AE}" pid="4" name="ICV">
    <vt:lpwstr>C3363FE026BC48A9BB04BDEAF738264C_13</vt:lpwstr>
  </property>
</Properties>
</file>