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ascii="方正小标宋_GBK" w:hAnsi="方正小标宋_GBK" w:eastAsia="方正小标宋_GBK" w:cs="方正小标宋_GBK"/>
          <w:lang w:val="en-US" w:eastAsia="zh-CN"/>
        </w:rPr>
      </w:pPr>
      <w:bookmarkStart w:id="0" w:name="_GoBack"/>
      <w:r>
        <w:rPr>
          <w:rFonts w:hint="eastAsia" w:ascii="方正小标宋_GBK" w:hAnsi="方正小标宋_GBK" w:eastAsia="方正小标宋_GBK" w:cs="方正小标宋_GBK"/>
          <w:lang w:val="en-US" w:eastAsia="zh-CN"/>
        </w:rPr>
        <w:t>中共新野县水利局党组关于</w:t>
      </w:r>
    </w:p>
    <w:p>
      <w:pPr>
        <w:pStyle w:val="3"/>
        <w:bidi w:val="0"/>
        <w:rPr>
          <w:rFonts w:hint="eastAsia" w:ascii="方正小标宋_GBK" w:hAnsi="方正小标宋_GBK" w:eastAsia="方正小标宋_GBK" w:cs="方正小标宋_GBK"/>
          <w:lang w:val="en-US" w:eastAsia="zh-CN"/>
        </w:rPr>
      </w:pPr>
      <w:r>
        <w:rPr>
          <w:rFonts w:hint="eastAsia" w:ascii="方正小标宋_GBK" w:hAnsi="方正小标宋_GBK" w:eastAsia="方正小标宋_GBK" w:cs="方正小标宋_GBK"/>
          <w:lang w:val="en-US" w:eastAsia="zh-CN"/>
        </w:rPr>
        <w:t>工程项目招投标领域突出问题专项巡察</w:t>
      </w:r>
    </w:p>
    <w:p>
      <w:pPr>
        <w:pStyle w:val="3"/>
        <w:bidi w:val="0"/>
        <w:rPr>
          <w:rFonts w:hint="eastAsia" w:ascii="方正小标宋_GBK" w:hAnsi="方正小标宋_GBK" w:eastAsia="方正小标宋_GBK" w:cs="方正小标宋_GBK"/>
          <w:lang w:val="en-US" w:eastAsia="zh-CN"/>
        </w:rPr>
      </w:pPr>
      <w:r>
        <w:rPr>
          <w:rFonts w:hint="eastAsia" w:ascii="方正小标宋_GBK" w:hAnsi="方正小标宋_GBK" w:eastAsia="方正小标宋_GBK" w:cs="方正小标宋_GBK"/>
          <w:lang w:val="en-US" w:eastAsia="zh-CN"/>
        </w:rPr>
        <w:t>整改情况的通报</w:t>
      </w:r>
    </w:p>
    <w:bookmarkEnd w:id="0"/>
    <w:p>
      <w:pPr>
        <w:bidi w:val="0"/>
        <w:rPr>
          <w:rFonts w:hint="default"/>
          <w:lang w:val="en-US" w:eastAsia="zh-CN"/>
        </w:rPr>
      </w:pPr>
    </w:p>
    <w:p>
      <w:pPr>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Fonts w:hint="default"/>
          <w:lang w:val="en-US" w:eastAsia="zh-CN"/>
        </w:rPr>
        <w:t>根据县委统一部署，2025年3月6日至2025年5月6日，县委第四巡察组对新野县水利局党组开展了工程项目招投标领域突出问题专项巡察。2025年6月3日，县委第四巡察组向水利局党组反馈了巡察意见，指出我单位存在的3个方面13个主要问题，提出了4点具体的整改意见。对此，水利局党组高度重视，同日召开了党组扩大会议，对专项巡察反馈意见照单全收，要求从讲政治的高度以严肃认真的态度和立行立改的决心，认真对待巡察整改落实工作，深入研究整改落实措施，严格按照县委巡察办要求，压紧压实工作责任，逐条制定整改措施，扎实有序组织推进，整改工作已取得了阶段性成效。按照《中国共产党</w:t>
      </w:r>
      <w:r>
        <w:rPr>
          <w:rFonts w:hint="eastAsia"/>
          <w:lang w:val="en-US" w:eastAsia="zh-CN"/>
        </w:rPr>
        <w:t>巡视</w:t>
      </w:r>
      <w:r>
        <w:rPr>
          <w:rFonts w:hint="default"/>
          <w:lang w:val="en-US" w:eastAsia="zh-CN"/>
        </w:rPr>
        <w:t>工作条例》等有关规定，现将巡察整改情况予以公布。</w:t>
      </w:r>
    </w:p>
    <w:p>
      <w:pPr>
        <w:pStyle w:val="4"/>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Fonts w:hint="default"/>
          <w:lang w:val="en-US" w:eastAsia="zh-CN"/>
        </w:rPr>
        <w:t>一、局党组及主要负责人组织落实整改情况</w:t>
      </w:r>
    </w:p>
    <w:p>
      <w:pPr>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Style w:val="184"/>
          <w:rFonts w:hint="default"/>
          <w:lang w:val="en-US" w:eastAsia="zh-CN"/>
        </w:rPr>
        <w:t>（一）统一思想认识，提高政治站位</w:t>
      </w:r>
      <w:r>
        <w:rPr>
          <w:rFonts w:hint="default"/>
          <w:lang w:val="en-US" w:eastAsia="zh-CN"/>
        </w:rPr>
        <w:t>。6月3日，水利局党组召开会议，组织学习贯彻县委第四巡察组关于工程项目招投标领域突出问题专项巡察反馈意见，对反馈意见整改落实工作进行安排部署。随后召开局机关全体及局属二级单位负责人会议，传达学习了县委巡察组讲话精神，安排部署巡察整改工作。要求牢固树立“四个意识”、增强“四个自信”、做到“两个维护”，把专项巡察整改工作作为高标准高质量推动水利各项工作的一次具体行动。对照问题清单，理清工作思路，采取得力措施，凝心聚力抓整改，守正创新出成效。</w:t>
      </w:r>
    </w:p>
    <w:p>
      <w:pPr>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Style w:val="184"/>
          <w:rFonts w:hint="default"/>
          <w:lang w:val="en-US" w:eastAsia="zh-CN"/>
        </w:rPr>
        <w:t>（二）加强组织领导，周密部署整改。</w:t>
      </w:r>
      <w:r>
        <w:rPr>
          <w:rFonts w:hint="default"/>
          <w:lang w:val="en-US" w:eastAsia="zh-CN"/>
        </w:rPr>
        <w:t>根据“主动认领、领导带头、立行立改、统筹兼顾”整改原则，局党组认真履行巡察整改的主体责任，坚决照单全收，全面整改。成立了以党组书记、局长担任组长，其余局领导班子成员担任副组长，局相关股室、各二级单位负责人为成员的招投标领域突出问题专项巡察整改工作领导小组，领导小组下设办公室，明确一名班子成员兼任办公室主任，全面负责整改工作。研究制定了《中共新野县水利局党组关于工程项目招投标领域突出问题专项巡察反馈意见整改方案》。针对巡察反馈的三个方面13个问题，紧密结合水利工作实际，研究制定了35条整改措施，逐字逐句分解任务，明确责任领导、牵头单位、责任单位、具体责任人。采取台账管理，整改一个，销号一个，确保巡察反馈问题件件有人抓，事事有人管，整改有措施，完成有时限。建立了重大事项随时研究工作机制，定期听取整改情况汇报，各责任领导加强协调，亲自抓、经常抓。局党组多次召开班子扩大会议，班子成员逐人汇报，积极开展沟通协商，有序推进整改落实。主要负责人多次深入现场，逐点督导，有力促进了整改工作走深走实。共研究制定了35条整改措施，目前13个问题已全部整改到位，整改完成率100%。</w:t>
      </w:r>
    </w:p>
    <w:p>
      <w:pPr>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Style w:val="184"/>
          <w:rFonts w:hint="default"/>
          <w:lang w:val="en-US" w:eastAsia="zh-CN"/>
        </w:rPr>
        <w:t>（三）坚持标本兼治，力求取得实效。</w:t>
      </w:r>
      <w:r>
        <w:rPr>
          <w:rFonts w:hint="default"/>
          <w:lang w:val="en-US" w:eastAsia="zh-CN"/>
        </w:rPr>
        <w:t>局党组对照上级要求，结合工作实际，对巡察反馈问题进行了全面细致的梳理，区分问题性质，分类施治。能立行立改的立即整改；对牵涉面比较广、需要长期持续整改的问题重点督办；对短期内难以解决的问题，认真分析原因，制定解决方案，按阶段解决问题。在对症整改的同时，举一反三，深入剖析问题产生的根源，及时针对学习贯彻不深入、履职尽责不够到位、工程运行管护存在薄弱环节等方面修订完善规章制度，确保问题不反弹、不回潮，充分发挥巡察整改对水利工作的推动作用，把整改成果常态化、制度化。</w:t>
      </w:r>
    </w:p>
    <w:p>
      <w:pPr>
        <w:pStyle w:val="4"/>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Fonts w:hint="default"/>
          <w:lang w:val="en-US" w:eastAsia="zh-CN"/>
        </w:rPr>
        <w:t>二、集中整改进展情况</w:t>
      </w:r>
    </w:p>
    <w:p>
      <w:pPr>
        <w:pStyle w:val="5"/>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Fonts w:hint="default"/>
          <w:lang w:val="en-US" w:eastAsia="zh-CN"/>
        </w:rPr>
        <w:t>（一）已完成的整改事项及整改结果</w:t>
      </w:r>
    </w:p>
    <w:p>
      <w:pPr>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Fonts w:hint="default"/>
          <w:lang w:val="en-US" w:eastAsia="zh-CN"/>
        </w:rPr>
        <w:t>1、关于“水利局对习近平总书记关于招投标领域的重要论述、党的二十届三中全会和中纪委三次全会关于招投标领域的新精神新要求疏于学习领会，对如何依法做好招投标工作怠于思考，对深化开展招投标领域突出问题专项整治的决心和形势认识不足”的问题</w:t>
      </w:r>
    </w:p>
    <w:p>
      <w:pPr>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Fonts w:hint="default"/>
          <w:lang w:val="en-US" w:eastAsia="zh-CN"/>
        </w:rPr>
        <w:t>整改进展情况：</w:t>
      </w:r>
      <w:r>
        <w:rPr>
          <w:rFonts w:hint="default"/>
          <w:b/>
          <w:bCs/>
          <w:lang w:val="en-US" w:eastAsia="zh-CN"/>
        </w:rPr>
        <w:t>一是</w:t>
      </w:r>
      <w:r>
        <w:rPr>
          <w:rFonts w:hint="default"/>
          <w:lang w:val="en-US" w:eastAsia="zh-CN"/>
        </w:rPr>
        <w:t>局党组将习近平总书记关于招投标领域重要论述和党的二十届三中全会、二十届中纪委三次全会关于招投标领域的新精神新要求纳入局理论学习中心组学习计划。6月7日，局理论学习中心组专题学习习近平总书记关于招投标领域重要论述；7月2日，局理论学习中心组专题学习党的二十届三中全会、二十届中纪委三次全会关于招投标领域的新精神新要求。</w:t>
      </w:r>
      <w:r>
        <w:rPr>
          <w:rFonts w:hint="default"/>
          <w:b/>
          <w:bCs/>
          <w:lang w:val="en-US" w:eastAsia="zh-CN"/>
        </w:rPr>
        <w:t>二是</w:t>
      </w:r>
      <w:r>
        <w:rPr>
          <w:rFonts w:hint="default"/>
          <w:lang w:val="en-US" w:eastAsia="zh-CN"/>
        </w:rPr>
        <w:t>2025年7月10日，局党组开展招投标领域专题研讨，班子成员围绕如何规范开展水利项目招投标活动逐一发言，并进行讨论，进一步加深了对水利项目招投标活动的认识。</w:t>
      </w:r>
      <w:r>
        <w:rPr>
          <w:rFonts w:hint="default"/>
          <w:b/>
          <w:bCs/>
          <w:lang w:val="en-US" w:eastAsia="zh-CN"/>
        </w:rPr>
        <w:t>三是</w:t>
      </w:r>
      <w:r>
        <w:rPr>
          <w:rFonts w:hint="default"/>
          <w:lang w:val="en-US" w:eastAsia="zh-CN"/>
        </w:rPr>
        <w:t>严格按照严厉打击工程项目招标投标领域腐败和违法犯罪专项行动要求，高标准高质量推进招投标专项整治活动。</w:t>
      </w:r>
    </w:p>
    <w:p>
      <w:pPr>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Fonts w:hint="default"/>
          <w:lang w:val="en-US" w:eastAsia="zh-CN"/>
        </w:rPr>
        <w:t>2、关于“水利局对《中华人民共和国招标投标法》《中华人民共和国政府采购法》等招投标领域法律法规学习不深刻，执行不到位。班子成员和相关股室工作人员未能制度化、经常化开展专题学习，招投标工作日常实施中的纪法意识较差，沉迷于工作惯性和工作经验，主动接受纪检、审计等各类监督不够主动，在工程项目招投标领域中缺乏对纪法的敬畏，导致违法违纪问题时有发生”的问题</w:t>
      </w:r>
    </w:p>
    <w:p>
      <w:pPr>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Fonts w:hint="default"/>
          <w:lang w:val="en-US" w:eastAsia="zh-CN"/>
        </w:rPr>
        <w:t>整改进展情况：</w:t>
      </w:r>
      <w:r>
        <w:rPr>
          <w:rFonts w:hint="eastAsia"/>
          <w:b/>
          <w:bCs/>
          <w:lang w:val="en-US" w:eastAsia="zh-CN"/>
        </w:rPr>
        <w:t>一是</w:t>
      </w:r>
      <w:r>
        <w:rPr>
          <w:rFonts w:hint="default"/>
          <w:lang w:val="en-US" w:eastAsia="zh-CN"/>
        </w:rPr>
        <w:t>2025年6月24日，我局组织局机关股室、各二级单位利用周二大讲堂学习《中华人民共和国招标投标法》、《中华人民共和国采购法》，进一步加强了对法律法规的认识；</w:t>
      </w:r>
      <w:r>
        <w:rPr>
          <w:rFonts w:hint="default"/>
          <w:b/>
          <w:bCs/>
          <w:lang w:val="en-US" w:eastAsia="zh-CN"/>
        </w:rPr>
        <w:t>二是</w:t>
      </w:r>
      <w:r>
        <w:rPr>
          <w:rFonts w:hint="default"/>
          <w:lang w:val="en-US" w:eastAsia="zh-CN"/>
        </w:rPr>
        <w:t>2025年7月8日，我局组织机关全体、二级单位负责人召开招投标领域典型案例警示教育会议，进一步增强广大党员干部的纪律意识、红线意识</w:t>
      </w:r>
      <w:r>
        <w:rPr>
          <w:rFonts w:hint="eastAsia"/>
          <w:lang w:val="en-US" w:eastAsia="zh-CN"/>
        </w:rPr>
        <w:t>；</w:t>
      </w:r>
      <w:r>
        <w:rPr>
          <w:rFonts w:hint="eastAsia"/>
          <w:b/>
          <w:bCs/>
          <w:lang w:val="en-US" w:eastAsia="zh-CN"/>
        </w:rPr>
        <w:t>三是</w:t>
      </w:r>
      <w:r>
        <w:rPr>
          <w:rFonts w:hint="default"/>
          <w:lang w:val="en-US" w:eastAsia="zh-CN"/>
        </w:rPr>
        <w:t>主动接受纪检、审计部门的监督管理。2025年6月7日，局党组与驻农业农村局纪检组召开了群众身边不正之风专项整治活动组组会商会议，对农村饮水安全工程建后管护工作再次进行安排部署，进一步提升工程管护水平。</w:t>
      </w:r>
    </w:p>
    <w:p>
      <w:pPr>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Fonts w:hint="default"/>
          <w:lang w:val="en-US" w:eastAsia="zh-CN"/>
        </w:rPr>
        <w:t>3、关于“2024年7月洪涝过后，造成2号橡胶坝损毁严重，无法有效发挥其水利功能，水利局党组对重大民生项目损毁维修重视不够、认识不到位。本轮巡察发现，该2号橡胶坝仍未修复”的问题</w:t>
      </w:r>
    </w:p>
    <w:p>
      <w:pPr>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Fonts w:hint="default"/>
          <w:lang w:val="en-US" w:eastAsia="zh-CN"/>
        </w:rPr>
        <w:t>整改进展情况：洪涝灾害发生后，我局立即组织设计公司到水毁现场进行现场查勘，起草编制2#橡胶坝水毁工程实施方案，同时以新水字[2024]109号文件向县政府申请解决白河2#橡胶坝水毁维修资金147万元。我局不等不靠，在县公共资源交易中心发布招标公告，通过公开招投标形式择优确定施工单位，2025年4月20日工程开工建设，5月底完工。2025年7月26日，我局组织财政部门、设计公司、监理公司等单位对项目进行了竣工验收。目前项目效益发挥良好。</w:t>
      </w:r>
    </w:p>
    <w:p>
      <w:pPr>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Fonts w:hint="default"/>
          <w:lang w:val="en-US" w:eastAsia="zh-CN"/>
        </w:rPr>
        <w:t>4、关于“水利局对招标工作专班机制建设认识不到位，未设立常态化招投标工作专班，存在业务、法务、纪检各部门协作松散现象，易出现流程脱节问题，监督合力也未形成”的问题</w:t>
      </w:r>
    </w:p>
    <w:p>
      <w:pPr>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Fonts w:hint="default"/>
          <w:lang w:val="en-US" w:eastAsia="zh-CN"/>
        </w:rPr>
        <w:t>整改进展情况：2025年6月16日，局党组成立了以党组书记、局长为组长，班子成员为副组长，各相关股室、二级单位负责人为成员的招投标工作专班，专班定期召开会议，研究我局水利工程招投标事项，确保招标及时研究决策，程序合规。同时明确了规划计划、行政审批、纪检等相关部门在招投标工作中的职能，建立了协同合作沟通机制。</w:t>
      </w:r>
    </w:p>
    <w:p>
      <w:pPr>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Fonts w:hint="default"/>
          <w:lang w:val="en-US" w:eastAsia="zh-CN"/>
        </w:rPr>
        <w:t>5、关于“水利局在招投标工作中对“三重一大”集体决策制度的内涵理解不深，致决策权威性弱化、监督功能未充分发挥。水利局2020年以来主导实施的24个项目中，开会研究时间晚于项目招标时间4个”的问题</w:t>
      </w:r>
    </w:p>
    <w:p>
      <w:pPr>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Fonts w:hint="default"/>
          <w:lang w:val="en-US" w:eastAsia="zh-CN"/>
        </w:rPr>
        <w:t>整改进展情况：</w:t>
      </w:r>
      <w:r>
        <w:rPr>
          <w:rFonts w:hint="default"/>
          <w:b/>
          <w:bCs/>
          <w:lang w:val="en-US" w:eastAsia="zh-CN"/>
        </w:rPr>
        <w:t>一是</w:t>
      </w:r>
      <w:r>
        <w:rPr>
          <w:rFonts w:hint="default"/>
          <w:lang w:val="en-US" w:eastAsia="zh-CN"/>
        </w:rPr>
        <w:t>2025年7月2日，局党组召开专题会议，认真组织学习“三重一大”集体决策制度，加深对制度的理解和认识；</w:t>
      </w:r>
      <w:r>
        <w:rPr>
          <w:rFonts w:hint="default"/>
          <w:b/>
          <w:bCs/>
          <w:lang w:val="en-US" w:eastAsia="zh-CN"/>
        </w:rPr>
        <w:t>二是</w:t>
      </w:r>
      <w:r>
        <w:rPr>
          <w:rFonts w:hint="default"/>
          <w:lang w:val="en-US" w:eastAsia="zh-CN"/>
        </w:rPr>
        <w:t>2025年6月7日，局党组与驻农业农村局纪检组召开组组会商会议，8月20日，再次召开组组会商会议，对省委巡视县委整改工作进行协商研判，局党组对2025年堤防工程白蚁防治项目的招标代理机构的选定进行了研讨，经局党组一致研究表决确定了代理机构。驻农业农村局纪检组对代理机构选定进行全程监督。</w:t>
      </w:r>
      <w:r>
        <w:rPr>
          <w:rFonts w:hint="default"/>
          <w:b/>
          <w:bCs/>
          <w:lang w:val="en-US" w:eastAsia="zh-CN"/>
        </w:rPr>
        <w:t>三是</w:t>
      </w:r>
      <w:r>
        <w:rPr>
          <w:rFonts w:hint="default"/>
          <w:lang w:val="en-US" w:eastAsia="zh-CN"/>
        </w:rPr>
        <w:t>严格按照“三重一大”决策制度要求，大额资金支付、人事调整、重大水利项目建设等重大事项均需通过局党组会议研究集体决策，同时严格执行一把手末位表态发言制度。</w:t>
      </w:r>
    </w:p>
    <w:p>
      <w:pPr>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Fonts w:hint="default"/>
          <w:lang w:val="en-US" w:eastAsia="zh-CN"/>
        </w:rPr>
        <w:t>6、关于对“水利局班子成员中打井队的分管领导对分管部门缺乏日常监督管理，致使打井队处于无人管理状态；对分管的上庄乡、溧河铺镇水厂监管不到位，水费收费情况无人监管，收益情况不透明”的问题</w:t>
      </w:r>
    </w:p>
    <w:p>
      <w:pPr>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Fonts w:hint="default"/>
          <w:lang w:val="en-US" w:eastAsia="zh-CN"/>
        </w:rPr>
        <w:t>整改进展情况：</w:t>
      </w:r>
      <w:r>
        <w:rPr>
          <w:rFonts w:hint="default"/>
          <w:b/>
          <w:bCs/>
          <w:lang w:val="en-US" w:eastAsia="zh-CN"/>
        </w:rPr>
        <w:t>一是</w:t>
      </w:r>
      <w:r>
        <w:rPr>
          <w:rFonts w:hint="default"/>
          <w:lang w:val="en-US" w:eastAsia="zh-CN"/>
        </w:rPr>
        <w:t>按照重塑性改革文件精神，我局水利勘测设计施工队、新野县打井队、新野县抗旱服务队组建新野县水利工程建设与质量检测服务中心。</w:t>
      </w:r>
      <w:r>
        <w:rPr>
          <w:rFonts w:hint="default"/>
          <w:b/>
          <w:bCs/>
          <w:lang w:val="en-US" w:eastAsia="zh-CN"/>
        </w:rPr>
        <w:t>二是</w:t>
      </w:r>
      <w:r>
        <w:rPr>
          <w:rFonts w:hint="default"/>
          <w:lang w:val="en-US" w:eastAsia="zh-CN"/>
        </w:rPr>
        <w:t>班子成员每月到本人分包的二级单位调研，参加二级单位组织生活会，听取单位运行情况、存在问题，了解干部职工的实际困难，切实为职工解难题、办实事。截止目前共为职工办理实事5件。同时及时掌握单位的不稳定因素，尽早化解信访苗头。</w:t>
      </w:r>
      <w:r>
        <w:rPr>
          <w:rFonts w:hint="default"/>
          <w:b/>
          <w:bCs/>
          <w:lang w:val="en-US" w:eastAsia="zh-CN"/>
        </w:rPr>
        <w:t>三是</w:t>
      </w:r>
      <w:r>
        <w:rPr>
          <w:rFonts w:hint="default"/>
          <w:lang w:val="en-US" w:eastAsia="zh-CN"/>
        </w:rPr>
        <w:t>明确专人，建立溧河铺镇水厂、上庄乡水厂管理专账。我局先后督导上庄水厂、溧河铺镇水厂三次，邀请纪检组检查溧河铺镇水厂，对发现的问题立行立改。目前两个水厂收支情况明晰，水厂供水正常，群众满意度较高。</w:t>
      </w:r>
      <w:r>
        <w:rPr>
          <w:rFonts w:hint="default"/>
          <w:b/>
          <w:bCs/>
          <w:lang w:val="en-US" w:eastAsia="zh-CN"/>
        </w:rPr>
        <w:t>四是</w:t>
      </w:r>
      <w:r>
        <w:rPr>
          <w:rFonts w:hint="default"/>
          <w:lang w:val="en-US" w:eastAsia="zh-CN"/>
        </w:rPr>
        <w:t>我局及时召开以案促改警示教育会议，对水厂管理人员违纪问题进行深入学习剖析，进一步增强广大党员干部的纪律性。</w:t>
      </w:r>
    </w:p>
    <w:p>
      <w:pPr>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Fonts w:hint="default"/>
          <w:lang w:val="en-US" w:eastAsia="zh-CN"/>
        </w:rPr>
        <w:t>7、关于对“水利工程运行保障中心的财务工作没有向水利局分管领导汇报，且不清楚局分管领导是谁;财务审批程序不规范，监管不到位，在未核实施工队上报的工资明细表手续的情况下进行拨付”的问题</w:t>
      </w:r>
    </w:p>
    <w:p>
      <w:pPr>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Fonts w:hint="default"/>
          <w:lang w:val="en-US" w:eastAsia="zh-CN"/>
        </w:rPr>
        <w:t>整改进展情况：</w:t>
      </w:r>
      <w:r>
        <w:rPr>
          <w:rFonts w:hint="default"/>
          <w:b/>
          <w:bCs/>
          <w:lang w:val="en-US" w:eastAsia="zh-CN"/>
        </w:rPr>
        <w:t>一是</w:t>
      </w:r>
      <w:r>
        <w:rPr>
          <w:rFonts w:hint="default"/>
          <w:lang w:val="en-US" w:eastAsia="zh-CN"/>
        </w:rPr>
        <w:t>对反馈的施工队上报的工资明细表进行审核核查并签字，补充完善相关手续。</w:t>
      </w:r>
      <w:r>
        <w:rPr>
          <w:rFonts w:hint="default"/>
          <w:b/>
          <w:bCs/>
          <w:lang w:val="en-US" w:eastAsia="zh-CN"/>
        </w:rPr>
        <w:t>二是</w:t>
      </w:r>
      <w:r>
        <w:rPr>
          <w:rFonts w:hint="default"/>
          <w:lang w:val="en-US" w:eastAsia="zh-CN"/>
        </w:rPr>
        <w:t>我局建立水利局财务管理制度，严格按照财务制度拨付资金。</w:t>
      </w:r>
      <w:r>
        <w:rPr>
          <w:rFonts w:hint="default"/>
          <w:b/>
          <w:bCs/>
          <w:lang w:val="en-US" w:eastAsia="zh-CN"/>
        </w:rPr>
        <w:t>三是</w:t>
      </w:r>
      <w:r>
        <w:rPr>
          <w:rFonts w:hint="default"/>
          <w:lang w:val="en-US" w:eastAsia="zh-CN"/>
        </w:rPr>
        <w:t>局党组委托专业审计人员对局机关及二级单位账目每年开展两次专项审计。各股室、二级单位针对2025年上半年专项审计发现问题开展了全面整改，问题已全部整改完成。目前我局财务审批流程规范，没有发生违法违纪现象。</w:t>
      </w:r>
    </w:p>
    <w:p>
      <w:pPr>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Fonts w:hint="default"/>
          <w:lang w:val="en-US" w:eastAsia="zh-CN"/>
        </w:rPr>
        <w:t>8、关于对“项目立项调研不充分。水利局实施的农业水价综合改革项目，施工内容是在高标准农田建设机井上加装流量计等设备。巡察发现，水利局2022年农业水价综合改革项目施工地点包含沙堰镇车湾村，但该村未实施过高标准农田建设项目，且不具备项目实施条件，立项时前期调研不充分”的问题</w:t>
      </w:r>
    </w:p>
    <w:p>
      <w:pPr>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Fonts w:hint="default"/>
          <w:lang w:val="en-US" w:eastAsia="zh-CN"/>
        </w:rPr>
        <w:t>整改进展情况：</w:t>
      </w:r>
      <w:r>
        <w:rPr>
          <w:rFonts w:hint="default"/>
          <w:b/>
          <w:bCs/>
          <w:lang w:val="en-US" w:eastAsia="zh-CN"/>
        </w:rPr>
        <w:t>一是</w:t>
      </w:r>
      <w:r>
        <w:rPr>
          <w:rFonts w:hint="default"/>
          <w:lang w:val="en-US" w:eastAsia="zh-CN"/>
        </w:rPr>
        <w:t>我局积极与县农业农村局对接沟通，2022年度高标准农田建设地点涉及沙堰镇车湾村，但车湾村无机井建设加装流量计建设内容，具备水价改革实施条件。我局实施的2022年农业水价综合改革项目施工地点位于新甸铺镇杜岗、乔庄、刁河堂、津湾四个村，安装水电双计计量设施120套，目前已建设完成并通过验收，移交村级管理使用。</w:t>
      </w:r>
      <w:r>
        <w:rPr>
          <w:rFonts w:hint="default"/>
          <w:b/>
          <w:bCs/>
          <w:lang w:val="en-US" w:eastAsia="zh-CN"/>
        </w:rPr>
        <w:t>二是</w:t>
      </w:r>
      <w:r>
        <w:rPr>
          <w:rFonts w:hint="default"/>
          <w:lang w:val="en-US" w:eastAsia="zh-CN"/>
        </w:rPr>
        <w:t>我局对2020年以来实施的农业水价综合改革项目是否具备施工条件进行专项调研，经调研，我县近年来实施的农业水价综合改革项目均具备成熟的施工条件。</w:t>
      </w:r>
      <w:r>
        <w:rPr>
          <w:rFonts w:hint="default"/>
          <w:b/>
          <w:bCs/>
          <w:lang w:val="en-US" w:eastAsia="zh-CN"/>
        </w:rPr>
        <w:t>三是</w:t>
      </w:r>
      <w:r>
        <w:rPr>
          <w:rFonts w:hint="default"/>
          <w:lang w:val="en-US" w:eastAsia="zh-CN"/>
        </w:rPr>
        <w:t>局分管领导带队，对2020年以来实施的农业水价综合改革项目开展了排查，对发现的问题建立台账，迅速进行整改，目前已全部整改到位，项目效益正常发挥。</w:t>
      </w:r>
    </w:p>
    <w:p>
      <w:pPr>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Fonts w:hint="default"/>
          <w:lang w:val="en-US" w:eastAsia="zh-CN"/>
        </w:rPr>
        <w:t>9、关于对“水利局支付新野县白河王集镇曹集村段应急抢险工程款项29万元，缺少验收报告等验收相关资料;2022年1月47号记账凭证支付南阳市唐白河干流防洪治理重点工程(新野段)四、五两个标段履约金共114.597万元，缺少复验报告、审批文件等相关验收资料;2022年8月67号记账凭证显示支付2021年农村饮水安全工程维修养护费用30万元、68号记账凭证显示支付2021年农村饮水安全工程维修养护费用40万元，均缺少采购手续、合同验收报告等相关资料”的问题</w:t>
      </w:r>
    </w:p>
    <w:p>
      <w:pPr>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Fonts w:hint="default"/>
          <w:lang w:val="en-US" w:eastAsia="zh-CN"/>
        </w:rPr>
        <w:t>整改进展情况：</w:t>
      </w:r>
      <w:r>
        <w:rPr>
          <w:rFonts w:hint="default"/>
          <w:b/>
          <w:bCs/>
          <w:lang w:val="en-US" w:eastAsia="zh-CN"/>
        </w:rPr>
        <w:t>一是</w:t>
      </w:r>
      <w:r>
        <w:rPr>
          <w:rFonts w:hint="default"/>
          <w:lang w:val="en-US" w:eastAsia="zh-CN"/>
        </w:rPr>
        <w:t>补充新野县白河王集镇曹集村段应急抢险工程没有验收报告的情况说明；</w:t>
      </w:r>
      <w:r>
        <w:rPr>
          <w:rFonts w:hint="default"/>
          <w:b/>
          <w:bCs/>
          <w:lang w:val="en-US" w:eastAsia="zh-CN"/>
        </w:rPr>
        <w:t>二是</w:t>
      </w:r>
      <w:r>
        <w:rPr>
          <w:rFonts w:hint="default"/>
          <w:lang w:val="en-US" w:eastAsia="zh-CN"/>
        </w:rPr>
        <w:t>补充完善南阳市唐白河干流防洪治理重点工程(新野段)四、五两个标段履约金复验报告、审批文件等相关验收资料；补充完善2022年8月67号记账凭证、68号记账凭证配套的采购手续、合同验收报告等相关资料。</w:t>
      </w:r>
      <w:r>
        <w:rPr>
          <w:rFonts w:hint="default"/>
          <w:b/>
          <w:bCs/>
          <w:lang w:val="en-US" w:eastAsia="zh-CN"/>
        </w:rPr>
        <w:t>三是</w:t>
      </w:r>
      <w:r>
        <w:rPr>
          <w:rFonts w:hint="default"/>
          <w:lang w:val="en-US" w:eastAsia="zh-CN"/>
        </w:rPr>
        <w:t>认真完善项目内业资料，实现内业资料与外业工程进度同步，同时做好验收资料的收集归档工作，严格按照水利工程验收规程组织工程验收，目前正在组织刁河、下溧河河道治理项目竣工验收。</w:t>
      </w:r>
    </w:p>
    <w:p>
      <w:pPr>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Fonts w:hint="default"/>
          <w:lang w:val="en-US" w:eastAsia="zh-CN"/>
        </w:rPr>
        <w:t>10、关于对“设备管护不到位水利局缺乏对农村饮水安全维修养护项目中安装的压力罐等设备进行管护，2022年以来对部分压力罐只换不修”的问题</w:t>
      </w:r>
    </w:p>
    <w:p>
      <w:pPr>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Fonts w:hint="default"/>
          <w:lang w:val="en-US" w:eastAsia="zh-CN"/>
        </w:rPr>
        <w:t>整改进展情况：</w:t>
      </w:r>
      <w:r>
        <w:rPr>
          <w:rFonts w:hint="default"/>
          <w:b/>
          <w:bCs/>
          <w:lang w:val="en-US" w:eastAsia="zh-CN"/>
        </w:rPr>
        <w:t>一是</w:t>
      </w:r>
      <w:r>
        <w:rPr>
          <w:rFonts w:hint="default"/>
          <w:lang w:val="en-US" w:eastAsia="zh-CN"/>
        </w:rPr>
        <w:t>今年以来，我局扎实开展农村饮水安全“大排查、大整改、大提升”活动。局班子成员带队对全县所有安全饮水工程进行拉网式排查，对压力罐使用情况进行复核，将13处压力罐不能正常运行的安全饮水工程列入2025年度农村饮水安全维修养护项目清单，及时更换压力罐。项目于2025年8月开工建设，目前压力罐已基本更换完成，预计12月份全部完成建设任务。</w:t>
      </w:r>
      <w:r>
        <w:rPr>
          <w:rFonts w:hint="default"/>
          <w:b/>
          <w:bCs/>
          <w:lang w:val="en-US" w:eastAsia="zh-CN"/>
        </w:rPr>
        <w:t>二是</w:t>
      </w:r>
      <w:r>
        <w:rPr>
          <w:rFonts w:hint="default"/>
          <w:lang w:val="en-US" w:eastAsia="zh-CN"/>
        </w:rPr>
        <w:t>2025年6月10日，我县召开全县农村供水工程运行管护不到位等问题专项整治工作推进会，会上给各乡镇下发整改函，督促乡镇两级压实管护责任，定期对压力罐进行清洗，保证压力罐正常发挥效益。目前全县安全饮水工程全部运行正常，2025年上半年全省安全饮水舆情通报不涉及我县。</w:t>
      </w:r>
      <w:r>
        <w:rPr>
          <w:rFonts w:hint="default"/>
          <w:b/>
          <w:bCs/>
          <w:lang w:val="en-US" w:eastAsia="zh-CN"/>
        </w:rPr>
        <w:t>三是</w:t>
      </w:r>
      <w:r>
        <w:rPr>
          <w:rFonts w:hint="default"/>
          <w:lang w:val="en-US" w:eastAsia="zh-CN"/>
        </w:rPr>
        <w:t>经与压力罐厂家沟通联系，结合压力罐维修使用经验，压力罐保养重在日常维修保养，当压力罐出现渗漏需要维修时，维修意义不大，从使用效果上不如直接更换压力罐。</w:t>
      </w:r>
    </w:p>
    <w:p>
      <w:pPr>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Fonts w:hint="default"/>
          <w:lang w:val="en-US" w:eastAsia="zh-CN"/>
        </w:rPr>
        <w:t>11、关于对“存在安全隐患问题。水利局实施的农村饮水安全维修养护项目对农村水厂的建设有明确安全要求。巡察发现，上港乡魏庙村、沙堰镇南村、五星镇廖楼村等水厂无围墙，村民可随意出入，存在安全隐患”的问题</w:t>
      </w:r>
    </w:p>
    <w:p>
      <w:pPr>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Fonts w:hint="default"/>
          <w:lang w:val="en-US" w:eastAsia="zh-CN"/>
        </w:rPr>
        <w:t>整改进展情况：</w:t>
      </w:r>
      <w:r>
        <w:rPr>
          <w:rFonts w:hint="default"/>
          <w:b/>
          <w:bCs/>
          <w:lang w:val="en-US" w:eastAsia="zh-CN"/>
        </w:rPr>
        <w:t>一是</w:t>
      </w:r>
      <w:r>
        <w:rPr>
          <w:rFonts w:hint="default"/>
          <w:lang w:val="en-US" w:eastAsia="zh-CN"/>
        </w:rPr>
        <w:t>今年以来，我局扎实开展农村饮水安全“大排查、大整改、大提升”活动。局班子成员带队对全县所有安全饮水工程进行拉网式排查。对有安全隐患的安全饮水工程督促乡镇政府尽快修建围墙，杜绝安全隐患。</w:t>
      </w:r>
      <w:r>
        <w:rPr>
          <w:rFonts w:hint="default"/>
          <w:b/>
          <w:bCs/>
          <w:lang w:val="en-US" w:eastAsia="zh-CN"/>
        </w:rPr>
        <w:t>二是</w:t>
      </w:r>
      <w:r>
        <w:rPr>
          <w:rFonts w:hint="default"/>
          <w:lang w:val="en-US" w:eastAsia="zh-CN"/>
        </w:rPr>
        <w:t>2025年6月10日，我县召开全县农村供水工程运行管护不到位等问题专项整治工作推进会，会上给各乡镇下发整改函，督促乡镇两级压实管护责任，及时修建围墙，消除安全隐患。</w:t>
      </w:r>
      <w:r>
        <w:rPr>
          <w:rFonts w:hint="default"/>
          <w:b/>
          <w:bCs/>
          <w:lang w:val="en-US" w:eastAsia="zh-CN"/>
        </w:rPr>
        <w:t>三是</w:t>
      </w:r>
      <w:r>
        <w:rPr>
          <w:rFonts w:hint="default"/>
          <w:lang w:val="en-US" w:eastAsia="zh-CN"/>
        </w:rPr>
        <w:t>按照县委、政府对农村饮水安全工程运行管理的要求，我县所有安全饮水工程已全部安装监控设备，对水源地进行24小时监控。同时我局积极督促乡村两级压实管护责任，定期对安全饮水工程开展排查，发现隐患及时消除，保障农村饮水安全工程运行正常。</w:t>
      </w:r>
    </w:p>
    <w:p>
      <w:pPr>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Fonts w:hint="default"/>
          <w:lang w:val="en-US" w:eastAsia="zh-CN"/>
        </w:rPr>
        <w:t>12、关于对“水利局实施的2023年农村饮水安全维修养护项目，为沙堰镇南村更换压力罐，更换下的旧压力罐被施工方拉走;上港乡魏庙村压力罐更换后，旧压力罐在水厂边露天存放，已锈迹斑斑，水利局对更换的旧压力罐管理不到位，固定资产存在流失风险”的问题</w:t>
      </w:r>
    </w:p>
    <w:p>
      <w:pPr>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Fonts w:hint="default"/>
          <w:lang w:val="en-US" w:eastAsia="zh-CN"/>
        </w:rPr>
        <w:t>整改进展情况：</w:t>
      </w:r>
      <w:r>
        <w:rPr>
          <w:rFonts w:hint="default"/>
          <w:b/>
          <w:bCs/>
          <w:lang w:val="en-US" w:eastAsia="zh-CN"/>
        </w:rPr>
        <w:t>一是</w:t>
      </w:r>
      <w:r>
        <w:rPr>
          <w:rFonts w:hint="default"/>
          <w:lang w:val="en-US" w:eastAsia="zh-CN"/>
        </w:rPr>
        <w:t>按照《关于对农村供水工程废旧设备（水罐）进行处置的意见》要求，我局积极督促乡镇汇总废旧压力罐清单，同时积极与国资部门对接，将设备和清单移交国资部门。</w:t>
      </w:r>
      <w:r>
        <w:rPr>
          <w:rFonts w:hint="default"/>
          <w:b/>
          <w:bCs/>
          <w:lang w:val="en-US" w:eastAsia="zh-CN"/>
        </w:rPr>
        <w:t>二是</w:t>
      </w:r>
      <w:r>
        <w:rPr>
          <w:rFonts w:hint="default"/>
          <w:lang w:val="en-US" w:eastAsia="zh-CN"/>
        </w:rPr>
        <w:t>我局积极督促乡镇，按照处置意见对废旧压力罐进行处理，同时定期对安全饮水工程开展排查，避免国有固定资产的流失。巡察整改至今，没有发生压力罐私自处置的现象。</w:t>
      </w:r>
    </w:p>
    <w:p>
      <w:pPr>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Fonts w:hint="default"/>
          <w:lang w:val="en-US" w:eastAsia="zh-CN"/>
        </w:rPr>
        <w:t>13、关于对“2022年1月8日记账凭证显示支付2020年中央水利救灾资金37.503万元;9号记账凭证显示支付2021年省级水利救灾资金28.689万元;10号记账凭证显示支付2021年农村饮水安全工程维修养护资金61.327万元。2月1号记账凭证显示支付2021年中央和省级水利发展资金199.763万元;2号记账凭证显示支付 2021年水利救灾资金1.12万元;3号记账凭证显示支付2021年水利救灾资金(于庙抗旱)0.749万元;4号记账凭证显示支付2021年水利救灾资金(杜桥抗旱)18.5万元;5号记账凭证显示支付2021年水利救灾资金(于庙抗旱)18.897万元，均未见国库集中支付凭证及其他报账资料”的问题</w:t>
      </w:r>
    </w:p>
    <w:p>
      <w:pPr>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Fonts w:hint="default"/>
          <w:lang w:val="en-US" w:eastAsia="zh-CN"/>
        </w:rPr>
        <w:t>整改进展情况：</w:t>
      </w:r>
      <w:r>
        <w:rPr>
          <w:rFonts w:hint="default"/>
          <w:b/>
          <w:bCs/>
          <w:lang w:val="en-US" w:eastAsia="zh-CN"/>
        </w:rPr>
        <w:t>一是</w:t>
      </w:r>
      <w:r>
        <w:rPr>
          <w:rFonts w:hint="default"/>
          <w:lang w:val="en-US" w:eastAsia="zh-CN"/>
        </w:rPr>
        <w:t>对照通报内容，督促财务人员及时收集完善国库集中支付凭证及其他报账资料，目前已收集完毕并存档规整；</w:t>
      </w:r>
      <w:r>
        <w:rPr>
          <w:rFonts w:hint="default"/>
          <w:b/>
          <w:bCs/>
          <w:lang w:val="en-US" w:eastAsia="zh-CN"/>
        </w:rPr>
        <w:t>二是</w:t>
      </w:r>
      <w:r>
        <w:rPr>
          <w:rFonts w:hint="default"/>
          <w:lang w:val="en-US" w:eastAsia="zh-CN"/>
        </w:rPr>
        <w:t>出台完善了《新野县水利局财务管理制度》，同时积极组织财务人员学习《新野县水利局财务管理制度》,进一步加深对财务制度的认识，严格按照财务制度办理执行。</w:t>
      </w:r>
      <w:r>
        <w:rPr>
          <w:rFonts w:hint="default"/>
          <w:b/>
          <w:bCs/>
          <w:lang w:val="en-US" w:eastAsia="zh-CN"/>
        </w:rPr>
        <w:t>三是</w:t>
      </w:r>
      <w:r>
        <w:rPr>
          <w:rFonts w:hint="default"/>
          <w:lang w:val="en-US" w:eastAsia="zh-CN"/>
        </w:rPr>
        <w:t>局党组委托专业审计人员对局机关及二级单位账目每年开展两次专项审计。各股室、二级单位针对2025年上半年专项审计发现问题开展了全面整改，问题已全部整改完成。止目前，我局严格执行财务报账制度，全局报账资料符合财务规定，制度执行较好。</w:t>
      </w:r>
    </w:p>
    <w:p>
      <w:pPr>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r>
        <w:rPr>
          <w:rFonts w:hint="default"/>
          <w:lang w:val="en-US" w:eastAsia="zh-CN"/>
        </w:rPr>
        <w:t>欢迎广大干部群众对巡察整改落实情况进行监督。如有意见和建议，请及时向我们反映。联系电话：0377-66012000；邮政信箱    ；电子邮箱xinyefx@126.com。</w:t>
      </w:r>
    </w:p>
    <w:p>
      <w:pPr>
        <w:keepNext w:val="0"/>
        <w:keepLines w:val="0"/>
        <w:pageBreakBefore w:val="0"/>
        <w:widowControl w:val="0"/>
        <w:kinsoku/>
        <w:wordWrap/>
        <w:overflowPunct w:val="0"/>
        <w:topLinePunct/>
        <w:autoSpaceDE/>
        <w:autoSpaceDN/>
        <w:bidi w:val="0"/>
        <w:snapToGrid/>
        <w:spacing w:line="570" w:lineRule="exact"/>
        <w:textAlignment w:val="auto"/>
        <w:rPr>
          <w:rFonts w:hint="default"/>
          <w:lang w:val="en-US" w:eastAsia="zh-CN"/>
        </w:rPr>
      </w:pPr>
    </w:p>
    <w:p>
      <w:pPr>
        <w:keepNext w:val="0"/>
        <w:keepLines w:val="0"/>
        <w:pageBreakBefore w:val="0"/>
        <w:widowControl w:val="0"/>
        <w:kinsoku/>
        <w:wordWrap w:val="0"/>
        <w:overflowPunct w:val="0"/>
        <w:topLinePunct/>
        <w:autoSpaceDE/>
        <w:autoSpaceDN/>
        <w:bidi w:val="0"/>
        <w:snapToGrid/>
        <w:spacing w:line="570" w:lineRule="exact"/>
        <w:jc w:val="right"/>
        <w:textAlignment w:val="auto"/>
        <w:rPr>
          <w:rFonts w:hint="default"/>
          <w:lang w:val="en-US" w:eastAsia="zh-CN"/>
        </w:rPr>
      </w:pPr>
      <w:r>
        <w:rPr>
          <w:rFonts w:hint="default"/>
          <w:lang w:val="en-US" w:eastAsia="zh-CN"/>
        </w:rPr>
        <w:t>中共新野县水利局党组</w:t>
      </w:r>
      <w:r>
        <w:rPr>
          <w:rFonts w:hint="eastAsia"/>
          <w:lang w:val="en-US" w:eastAsia="zh-CN"/>
        </w:rPr>
        <w:t xml:space="preserve">  </w:t>
      </w:r>
    </w:p>
    <w:p>
      <w:pPr>
        <w:keepNext w:val="0"/>
        <w:keepLines w:val="0"/>
        <w:pageBreakBefore w:val="0"/>
        <w:widowControl w:val="0"/>
        <w:kinsoku/>
        <w:wordWrap w:val="0"/>
        <w:overflowPunct w:val="0"/>
        <w:topLinePunct/>
        <w:autoSpaceDE/>
        <w:autoSpaceDN/>
        <w:bidi w:val="0"/>
        <w:snapToGrid/>
        <w:spacing w:line="570" w:lineRule="exact"/>
        <w:jc w:val="right"/>
        <w:textAlignment w:val="auto"/>
        <w:rPr>
          <w:rFonts w:hint="default"/>
          <w:lang w:val="en-US" w:eastAsia="zh-CN"/>
        </w:rPr>
      </w:pPr>
      <w:r>
        <w:rPr>
          <w:rFonts w:hint="default"/>
          <w:lang w:val="en-US" w:eastAsia="zh-CN"/>
        </w:rPr>
        <w:t>2025年10月15日</w:t>
      </w:r>
      <w:r>
        <w:rPr>
          <w:rFonts w:hint="eastAsia"/>
          <w:lang w:val="en-US" w:eastAsia="zh-CN"/>
        </w:rPr>
        <w:t xml:space="preserve">    </w:t>
      </w:r>
    </w:p>
    <w:sectPr>
      <w:footerReference r:id="rId5" w:type="default"/>
      <w:pgSz w:w="11906" w:h="16838"/>
      <w:pgMar w:top="2098" w:right="1587" w:bottom="1984" w:left="1587" w:header="851" w:footer="1417" w:gutter="0"/>
      <w:pgNumType w:fmt="numberInDash" w:start="1"/>
      <w:cols w:space="0" w:num="1"/>
      <w:rtlGutter w:val="0"/>
      <w:docGrid w:type="linesAndChars" w:linePitch="579" w:charSpace="-16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4"/>
      </w:pPr>
      <w:r>
        <w:separator/>
      </w:r>
    </w:p>
  </w:endnote>
  <w:endnote w:type="continuationSeparator" w:id="1">
    <w:p>
      <w:pPr>
        <w:spacing w:line="240" w:lineRule="auto"/>
        <w:ind w:firstLine="6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GWZT-EN">
    <w:altName w:val="方正书宋_GBK"/>
    <w:panose1 w:val="02020400000000000000"/>
    <w:charset w:val="86"/>
    <w:family w:val="auto"/>
    <w:pitch w:val="default"/>
    <w:sig w:usb0="00000000" w:usb1="00000000" w:usb2="00082016" w:usb3="00000000" w:csb0="00000003" w:csb1="00000000"/>
  </w:font>
  <w:font w:name="仿宋">
    <w:altName w:val="方正仿宋_GBK"/>
    <w:panose1 w:val="02010609060101010101"/>
    <w:charset w:val="86"/>
    <w:family w:val="auto"/>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471" w:lineRule="auto"/>
      <w:rPr>
        <w:rFonts w:ascii="GWZT-EN" w:eastAsia="宋体"/>
        <w:sz w:val="28"/>
      </w:rPr>
    </w:pPr>
    <w:r>
      <w:rPr>
        <w:rFonts w:ascii="GWZT-EN"/>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fldChar w:fldCharType="begin"/>
                          </w:r>
                          <w:r>
                            <w:rPr>
                              <w:rFonts w:hint="eastAsia" w:ascii="仿宋_GB2312" w:hAnsi="仿宋_GB2312" w:eastAsia="仿宋_GB2312" w:cs="仿宋_GB2312"/>
                              <w:b w:val="0"/>
                              <w:bCs w:val="0"/>
                              <w:color w:val="auto"/>
                            </w:rPr>
                            <w:instrText xml:space="preserve"> PAGE  \* MERGEFORMAT </w:instrText>
                          </w:r>
                          <w:r>
                            <w:rPr>
                              <w:rFonts w:hint="eastAsia" w:ascii="仿宋_GB2312" w:hAnsi="仿宋_GB2312" w:eastAsia="仿宋_GB2312" w:cs="仿宋_GB2312"/>
                              <w:b w:val="0"/>
                              <w:bCs w:val="0"/>
                              <w:color w:val="auto"/>
                            </w:rPr>
                            <w:fldChar w:fldCharType="separate"/>
                          </w:r>
                          <w:r>
                            <w:rPr>
                              <w:rFonts w:hint="eastAsia" w:ascii="仿宋_GB2312" w:hAnsi="仿宋_GB2312" w:eastAsia="仿宋_GB2312" w:cs="仿宋_GB2312"/>
                              <w:b w:val="0"/>
                              <w:bCs w:val="0"/>
                              <w:color w:val="auto"/>
                            </w:rPr>
                            <w:t>- 1 -</w:t>
                          </w:r>
                          <w:r>
                            <w:rPr>
                              <w:rFonts w:hint="eastAsia" w:ascii="仿宋_GB2312" w:hAnsi="仿宋_GB2312" w:eastAsia="仿宋_GB2312" w:cs="仿宋_GB2312"/>
                              <w:b w:val="0"/>
                              <w:bCs w:val="0"/>
                              <w:color w:val="auto"/>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5"/>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fldChar w:fldCharType="begin"/>
                    </w:r>
                    <w:r>
                      <w:rPr>
                        <w:rFonts w:hint="eastAsia" w:ascii="仿宋_GB2312" w:hAnsi="仿宋_GB2312" w:eastAsia="仿宋_GB2312" w:cs="仿宋_GB2312"/>
                        <w:b w:val="0"/>
                        <w:bCs w:val="0"/>
                        <w:color w:val="auto"/>
                      </w:rPr>
                      <w:instrText xml:space="preserve"> PAGE  \* MERGEFORMAT </w:instrText>
                    </w:r>
                    <w:r>
                      <w:rPr>
                        <w:rFonts w:hint="eastAsia" w:ascii="仿宋_GB2312" w:hAnsi="仿宋_GB2312" w:eastAsia="仿宋_GB2312" w:cs="仿宋_GB2312"/>
                        <w:b w:val="0"/>
                        <w:bCs w:val="0"/>
                        <w:color w:val="auto"/>
                      </w:rPr>
                      <w:fldChar w:fldCharType="separate"/>
                    </w:r>
                    <w:r>
                      <w:rPr>
                        <w:rFonts w:hint="eastAsia" w:ascii="仿宋_GB2312" w:hAnsi="仿宋_GB2312" w:eastAsia="仿宋_GB2312" w:cs="仿宋_GB2312"/>
                        <w:b w:val="0"/>
                        <w:bCs w:val="0"/>
                        <w:color w:val="auto"/>
                      </w:rPr>
                      <w:t>- 1 -</w:t>
                    </w:r>
                    <w:r>
                      <w:rPr>
                        <w:rFonts w:hint="eastAsia" w:ascii="仿宋_GB2312" w:hAnsi="仿宋_GB2312" w:eastAsia="仿宋_GB2312" w:cs="仿宋_GB2312"/>
                        <w:b w:val="0"/>
                        <w:bCs w:val="0"/>
                        <w:color w:val="auto"/>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4"/>
      </w:pPr>
      <w:r>
        <w:separator/>
      </w:r>
    </w:p>
  </w:footnote>
  <w:footnote w:type="continuationSeparator" w:id="1">
    <w:p>
      <w:pPr>
        <w:spacing w:line="240" w:lineRule="auto"/>
        <w:ind w:firstLine="624"/>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embedSystemFonts/>
  <w:saveSubsetFonts/>
  <w:bordersDoNotSurroundHeader w:val="0"/>
  <w:bordersDoNotSurroundFooter w:val="0"/>
  <w:documentProtection w:enforcement="0"/>
  <w:defaultTabStop w:val="420"/>
  <w:drawingGridHorizontalSpacing w:val="156"/>
  <w:drawingGridVerticalSpacing w:val="29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2NTc5M2FiZWY0ODFjNzViNjNmOTRmOWJmNjQzZDYifQ=="/>
  </w:docVars>
  <w:rsids>
    <w:rsidRoot w:val="00172A27"/>
    <w:rsid w:val="000118A6"/>
    <w:rsid w:val="001E0441"/>
    <w:rsid w:val="003C468C"/>
    <w:rsid w:val="005B3341"/>
    <w:rsid w:val="008A76A6"/>
    <w:rsid w:val="00DE7CFF"/>
    <w:rsid w:val="010C58F4"/>
    <w:rsid w:val="01864A45"/>
    <w:rsid w:val="02024EB2"/>
    <w:rsid w:val="030A2ADB"/>
    <w:rsid w:val="05882122"/>
    <w:rsid w:val="05895A05"/>
    <w:rsid w:val="05DB04A3"/>
    <w:rsid w:val="06695AAF"/>
    <w:rsid w:val="06B62CAF"/>
    <w:rsid w:val="07716762"/>
    <w:rsid w:val="081C6C02"/>
    <w:rsid w:val="083E4E3C"/>
    <w:rsid w:val="087733A5"/>
    <w:rsid w:val="08AD7C99"/>
    <w:rsid w:val="09546EAB"/>
    <w:rsid w:val="09C5465B"/>
    <w:rsid w:val="09CA2D09"/>
    <w:rsid w:val="0A54652A"/>
    <w:rsid w:val="0B772365"/>
    <w:rsid w:val="0B9A670B"/>
    <w:rsid w:val="0BA8707A"/>
    <w:rsid w:val="0BCE0E23"/>
    <w:rsid w:val="0BF84ADE"/>
    <w:rsid w:val="0CD619C5"/>
    <w:rsid w:val="0D994A6F"/>
    <w:rsid w:val="0DAD24B9"/>
    <w:rsid w:val="0EF34AB0"/>
    <w:rsid w:val="0FBC0EA0"/>
    <w:rsid w:val="0FD80DDF"/>
    <w:rsid w:val="0FF46D31"/>
    <w:rsid w:val="104A6951"/>
    <w:rsid w:val="10555916"/>
    <w:rsid w:val="10743623"/>
    <w:rsid w:val="116333F8"/>
    <w:rsid w:val="11F87AE5"/>
    <w:rsid w:val="12020440"/>
    <w:rsid w:val="127C4DBC"/>
    <w:rsid w:val="142555F1"/>
    <w:rsid w:val="1433594E"/>
    <w:rsid w:val="14506500"/>
    <w:rsid w:val="15883A78"/>
    <w:rsid w:val="16423986"/>
    <w:rsid w:val="165027E8"/>
    <w:rsid w:val="16577ED7"/>
    <w:rsid w:val="16690078"/>
    <w:rsid w:val="16700BEC"/>
    <w:rsid w:val="16ED5AF3"/>
    <w:rsid w:val="171750B3"/>
    <w:rsid w:val="17220F4E"/>
    <w:rsid w:val="17403E76"/>
    <w:rsid w:val="187B3208"/>
    <w:rsid w:val="18D56A31"/>
    <w:rsid w:val="18FD0BA2"/>
    <w:rsid w:val="1957007D"/>
    <w:rsid w:val="1A5959E3"/>
    <w:rsid w:val="1AC93986"/>
    <w:rsid w:val="1B193AF0"/>
    <w:rsid w:val="1B80591D"/>
    <w:rsid w:val="1B9510AD"/>
    <w:rsid w:val="1C6B29C4"/>
    <w:rsid w:val="1D7F7370"/>
    <w:rsid w:val="1D9E2BB5"/>
    <w:rsid w:val="1EFB632F"/>
    <w:rsid w:val="1F0C1B82"/>
    <w:rsid w:val="1F1F317F"/>
    <w:rsid w:val="1F3D473E"/>
    <w:rsid w:val="1F634AFD"/>
    <w:rsid w:val="206F7D0E"/>
    <w:rsid w:val="20A67FC9"/>
    <w:rsid w:val="217E28FF"/>
    <w:rsid w:val="219768D7"/>
    <w:rsid w:val="22067788"/>
    <w:rsid w:val="222608A0"/>
    <w:rsid w:val="22406D91"/>
    <w:rsid w:val="22A05F70"/>
    <w:rsid w:val="232C0139"/>
    <w:rsid w:val="237C0CA4"/>
    <w:rsid w:val="23C73793"/>
    <w:rsid w:val="24011F24"/>
    <w:rsid w:val="24711B97"/>
    <w:rsid w:val="24C928B2"/>
    <w:rsid w:val="2566385C"/>
    <w:rsid w:val="25D14D24"/>
    <w:rsid w:val="25ED023E"/>
    <w:rsid w:val="26221696"/>
    <w:rsid w:val="266E22FC"/>
    <w:rsid w:val="279E6048"/>
    <w:rsid w:val="27B34C21"/>
    <w:rsid w:val="27C052F3"/>
    <w:rsid w:val="287D3430"/>
    <w:rsid w:val="29D9230A"/>
    <w:rsid w:val="2A144CCA"/>
    <w:rsid w:val="2A69586D"/>
    <w:rsid w:val="2AA74ACD"/>
    <w:rsid w:val="2B3B630C"/>
    <w:rsid w:val="2BB67139"/>
    <w:rsid w:val="2C8B4122"/>
    <w:rsid w:val="2C9F5158"/>
    <w:rsid w:val="2D4D492C"/>
    <w:rsid w:val="2DED6EA1"/>
    <w:rsid w:val="2E84182E"/>
    <w:rsid w:val="2ECA6D41"/>
    <w:rsid w:val="2F4B5DEA"/>
    <w:rsid w:val="2F6B44A8"/>
    <w:rsid w:val="306F2E1F"/>
    <w:rsid w:val="30AC6C89"/>
    <w:rsid w:val="31522504"/>
    <w:rsid w:val="31921B43"/>
    <w:rsid w:val="324D572E"/>
    <w:rsid w:val="32A837E6"/>
    <w:rsid w:val="32D54D64"/>
    <w:rsid w:val="3330157F"/>
    <w:rsid w:val="333E37DB"/>
    <w:rsid w:val="338F44F8"/>
    <w:rsid w:val="33E02FA5"/>
    <w:rsid w:val="35227F5E"/>
    <w:rsid w:val="35606DAB"/>
    <w:rsid w:val="369B31B3"/>
    <w:rsid w:val="36E36284"/>
    <w:rsid w:val="3768662A"/>
    <w:rsid w:val="37761751"/>
    <w:rsid w:val="37DC3669"/>
    <w:rsid w:val="37E271F5"/>
    <w:rsid w:val="37EE4911"/>
    <w:rsid w:val="380F27AE"/>
    <w:rsid w:val="383435A5"/>
    <w:rsid w:val="39462AD0"/>
    <w:rsid w:val="39DB1DF9"/>
    <w:rsid w:val="3A865F28"/>
    <w:rsid w:val="3AC9447E"/>
    <w:rsid w:val="3C62123D"/>
    <w:rsid w:val="3C7E07C3"/>
    <w:rsid w:val="3CA73CAC"/>
    <w:rsid w:val="3D075C8C"/>
    <w:rsid w:val="3E966194"/>
    <w:rsid w:val="3EE26BA4"/>
    <w:rsid w:val="3F6719E8"/>
    <w:rsid w:val="3FCE63A8"/>
    <w:rsid w:val="400022D9"/>
    <w:rsid w:val="40244329"/>
    <w:rsid w:val="406F21DE"/>
    <w:rsid w:val="41C2565A"/>
    <w:rsid w:val="422B3942"/>
    <w:rsid w:val="42892A5A"/>
    <w:rsid w:val="43364990"/>
    <w:rsid w:val="44572254"/>
    <w:rsid w:val="46795519"/>
    <w:rsid w:val="46BB2B2F"/>
    <w:rsid w:val="47F1013B"/>
    <w:rsid w:val="480E5EDB"/>
    <w:rsid w:val="48DC5E70"/>
    <w:rsid w:val="495C4A24"/>
    <w:rsid w:val="4972136D"/>
    <w:rsid w:val="49A10689"/>
    <w:rsid w:val="4A33256C"/>
    <w:rsid w:val="4AD4683C"/>
    <w:rsid w:val="4ADA6391"/>
    <w:rsid w:val="4AF8077D"/>
    <w:rsid w:val="4CCA1293"/>
    <w:rsid w:val="4CD22B9D"/>
    <w:rsid w:val="4D1F2F28"/>
    <w:rsid w:val="4D7E0BD1"/>
    <w:rsid w:val="4E383B1E"/>
    <w:rsid w:val="4E59038F"/>
    <w:rsid w:val="4E6E7490"/>
    <w:rsid w:val="4F1412E1"/>
    <w:rsid w:val="4F4D3532"/>
    <w:rsid w:val="4F97128E"/>
    <w:rsid w:val="4FBE28EB"/>
    <w:rsid w:val="4FDA48F5"/>
    <w:rsid w:val="50267B3A"/>
    <w:rsid w:val="50282575"/>
    <w:rsid w:val="508D27C0"/>
    <w:rsid w:val="51B80C66"/>
    <w:rsid w:val="51FB23DB"/>
    <w:rsid w:val="52834071"/>
    <w:rsid w:val="537127D2"/>
    <w:rsid w:val="546C3E7D"/>
    <w:rsid w:val="546E7D01"/>
    <w:rsid w:val="54AB4AB2"/>
    <w:rsid w:val="55114B6E"/>
    <w:rsid w:val="551A0D21"/>
    <w:rsid w:val="55200FFC"/>
    <w:rsid w:val="565318DC"/>
    <w:rsid w:val="56D11AD8"/>
    <w:rsid w:val="56F72F59"/>
    <w:rsid w:val="578B322F"/>
    <w:rsid w:val="578F620E"/>
    <w:rsid w:val="579D447C"/>
    <w:rsid w:val="57BB091E"/>
    <w:rsid w:val="57D14B34"/>
    <w:rsid w:val="585E17CE"/>
    <w:rsid w:val="58765534"/>
    <w:rsid w:val="588C69A8"/>
    <w:rsid w:val="5A3572F7"/>
    <w:rsid w:val="5A7A11AE"/>
    <w:rsid w:val="5B784389"/>
    <w:rsid w:val="5C43235A"/>
    <w:rsid w:val="5CF1327E"/>
    <w:rsid w:val="5D4C6C3A"/>
    <w:rsid w:val="5DAB2843"/>
    <w:rsid w:val="5EBA601D"/>
    <w:rsid w:val="5EE70977"/>
    <w:rsid w:val="5F462822"/>
    <w:rsid w:val="5F8A052F"/>
    <w:rsid w:val="6063799C"/>
    <w:rsid w:val="6085272A"/>
    <w:rsid w:val="60E939CD"/>
    <w:rsid w:val="612B675C"/>
    <w:rsid w:val="61CC602C"/>
    <w:rsid w:val="61DF2E1A"/>
    <w:rsid w:val="620D4CB9"/>
    <w:rsid w:val="63B41F7F"/>
    <w:rsid w:val="647B1EF9"/>
    <w:rsid w:val="64E73A6F"/>
    <w:rsid w:val="66061B48"/>
    <w:rsid w:val="666D526E"/>
    <w:rsid w:val="68202DE4"/>
    <w:rsid w:val="682044AC"/>
    <w:rsid w:val="686B098F"/>
    <w:rsid w:val="68F77E6E"/>
    <w:rsid w:val="69166546"/>
    <w:rsid w:val="69975429"/>
    <w:rsid w:val="6A630FC8"/>
    <w:rsid w:val="6B5415A7"/>
    <w:rsid w:val="6C8169B5"/>
    <w:rsid w:val="6D8344B5"/>
    <w:rsid w:val="6D865EF6"/>
    <w:rsid w:val="6D8E63DC"/>
    <w:rsid w:val="6DBA54FA"/>
    <w:rsid w:val="6DCF646E"/>
    <w:rsid w:val="6E2F6753"/>
    <w:rsid w:val="6F4F630E"/>
    <w:rsid w:val="6FB44C4D"/>
    <w:rsid w:val="700F7136"/>
    <w:rsid w:val="70DA254F"/>
    <w:rsid w:val="71190089"/>
    <w:rsid w:val="715C2C92"/>
    <w:rsid w:val="71847005"/>
    <w:rsid w:val="71F54AA1"/>
    <w:rsid w:val="72023B0B"/>
    <w:rsid w:val="720A6E64"/>
    <w:rsid w:val="724E11C4"/>
    <w:rsid w:val="727F34BB"/>
    <w:rsid w:val="728409C4"/>
    <w:rsid w:val="74806F69"/>
    <w:rsid w:val="75526CAB"/>
    <w:rsid w:val="76F14B7B"/>
    <w:rsid w:val="77A95BEE"/>
    <w:rsid w:val="786D2E6D"/>
    <w:rsid w:val="78C31B1A"/>
    <w:rsid w:val="792601F1"/>
    <w:rsid w:val="79E1494E"/>
    <w:rsid w:val="79E65E25"/>
    <w:rsid w:val="7A2370EA"/>
    <w:rsid w:val="7A2528CB"/>
    <w:rsid w:val="7AF83CFD"/>
    <w:rsid w:val="7B4A02D1"/>
    <w:rsid w:val="7B603EBA"/>
    <w:rsid w:val="7BB24855"/>
    <w:rsid w:val="7C435FA9"/>
    <w:rsid w:val="7C507B69"/>
    <w:rsid w:val="7D7008F0"/>
    <w:rsid w:val="7DBE128E"/>
    <w:rsid w:val="7DF27BD0"/>
    <w:rsid w:val="7E486D4A"/>
    <w:rsid w:val="7EE36A72"/>
    <w:rsid w:val="7EEC563F"/>
    <w:rsid w:val="7F5A7C9F"/>
    <w:rsid w:val="FDF6AF99"/>
    <w:rsid w:val="FE6FF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next w:val="2"/>
    <w:qFormat/>
    <w:uiPriority w:val="0"/>
    <w:pPr>
      <w:widowControl w:val="0"/>
      <w:overflowPunct w:val="0"/>
      <w:topLinePunct/>
      <w:bidi w:val="0"/>
      <w:adjustRightInd w:val="0"/>
      <w:spacing w:line="578" w:lineRule="exact"/>
      <w:ind w:firstLine="628" w:firstLineChars="200"/>
      <w:jc w:val="both"/>
    </w:pPr>
    <w:rPr>
      <w:rFonts w:ascii="Times New Roman" w:hAnsi="Times New Roman" w:eastAsia="仿宋_GB2312" w:cs="仿宋_GB2312"/>
      <w:spacing w:val="0"/>
      <w:kern w:val="2"/>
      <w:sz w:val="32"/>
      <w:szCs w:val="32"/>
      <w:lang w:val="en-US" w:eastAsia="zh-CN" w:bidi="ar-SA"/>
    </w:rPr>
  </w:style>
  <w:style w:type="paragraph" w:styleId="3">
    <w:name w:val="heading 1"/>
    <w:link w:val="185"/>
    <w:qFormat/>
    <w:uiPriority w:val="0"/>
    <w:pPr>
      <w:widowControl w:val="0"/>
      <w:overflowPunct w:val="0"/>
      <w:topLinePunct/>
      <w:bidi w:val="0"/>
      <w:spacing w:line="578" w:lineRule="exact"/>
      <w:ind w:firstLine="0" w:firstLineChars="0"/>
      <w:jc w:val="center"/>
      <w:outlineLvl w:val="0"/>
    </w:pPr>
    <w:rPr>
      <w:rFonts w:ascii="Times New Roman" w:hAnsi="Times New Roman" w:eastAsia="方正小标宋_GBK" w:cs="方正小标宋_GBK"/>
      <w:kern w:val="2"/>
      <w:sz w:val="44"/>
      <w:szCs w:val="32"/>
      <w:lang w:val="en-US" w:eastAsia="zh-CN"/>
    </w:rPr>
  </w:style>
  <w:style w:type="paragraph" w:styleId="4">
    <w:name w:val="heading 2"/>
    <w:link w:val="183"/>
    <w:unhideWhenUsed/>
    <w:qFormat/>
    <w:uiPriority w:val="0"/>
    <w:pPr>
      <w:keepNext w:val="0"/>
      <w:keepLines w:val="0"/>
      <w:widowControl w:val="0"/>
      <w:overflowPunct w:val="0"/>
      <w:topLinePunct/>
      <w:spacing w:beforeLines="0" w:beforeAutospacing="0" w:afterLines="0" w:afterAutospacing="0" w:line="578" w:lineRule="exact"/>
      <w:ind w:firstLine="652" w:firstLineChars="200"/>
      <w:jc w:val="both"/>
      <w:outlineLvl w:val="1"/>
    </w:pPr>
    <w:rPr>
      <w:rFonts w:ascii="Times New Roman" w:hAnsi="Times New Roman" w:eastAsia="黑体" w:cs="黑体"/>
      <w:kern w:val="2"/>
      <w:sz w:val="32"/>
      <w:szCs w:val="32"/>
    </w:rPr>
  </w:style>
  <w:style w:type="paragraph" w:styleId="5">
    <w:name w:val="heading 3"/>
    <w:link w:val="184"/>
    <w:unhideWhenUsed/>
    <w:qFormat/>
    <w:uiPriority w:val="0"/>
    <w:pPr>
      <w:keepNext w:val="0"/>
      <w:keepLines w:val="0"/>
      <w:widowControl w:val="0"/>
      <w:overflowPunct w:val="0"/>
      <w:topLinePunct/>
      <w:spacing w:beforeLines="0" w:beforeAutospacing="0" w:afterLines="0" w:afterAutospacing="0" w:line="578" w:lineRule="exact"/>
      <w:ind w:firstLine="652" w:firstLineChars="200"/>
      <w:jc w:val="both"/>
      <w:outlineLvl w:val="2"/>
    </w:pPr>
    <w:rPr>
      <w:rFonts w:ascii="Times New Roman" w:hAnsi="Times New Roman" w:eastAsia="楷体_GB2312" w:cs="楷体"/>
      <w:kern w:val="2"/>
      <w:sz w:val="32"/>
      <w:szCs w:val="32"/>
    </w:rPr>
  </w:style>
  <w:style w:type="paragraph" w:styleId="6">
    <w:name w:val="heading 4"/>
    <w:unhideWhenUsed/>
    <w:qFormat/>
    <w:uiPriority w:val="0"/>
    <w:pPr>
      <w:keepNext w:val="0"/>
      <w:keepLines w:val="0"/>
      <w:widowControl w:val="0"/>
      <w:overflowPunct w:val="0"/>
      <w:topLinePunct/>
      <w:spacing w:beforeLines="0" w:beforeAutospacing="0" w:afterLines="0" w:afterAutospacing="0" w:line="240" w:lineRule="auto"/>
      <w:ind w:firstLine="0" w:firstLineChars="0"/>
      <w:jc w:val="both"/>
      <w:outlineLvl w:val="3"/>
    </w:pPr>
    <w:rPr>
      <w:rFonts w:ascii="GWZT-EN" w:hAnsi="Times New Roman" w:eastAsia="仿宋" w:cs="Times New Roman"/>
      <w:kern w:val="2"/>
      <w:sz w:val="32"/>
      <w:szCs w:val="32"/>
    </w:r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rFonts w:ascii="GWZT-EN"/>
      <w:b/>
      <w:sz w:val="28"/>
    </w:rPr>
  </w:style>
  <w:style w:type="paragraph" w:styleId="8">
    <w:name w:val="heading 6"/>
    <w:basedOn w:val="1"/>
    <w:next w:val="1"/>
    <w:unhideWhenUsed/>
    <w:qFormat/>
    <w:uiPriority w:val="0"/>
    <w:pPr>
      <w:keepNext/>
      <w:keepLines/>
      <w:spacing w:before="240" w:beforeLines="0" w:beforeAutospacing="0" w:after="64" w:afterLines="0" w:afterAutospacing="0" w:line="317" w:lineRule="auto"/>
      <w:outlineLvl w:val="5"/>
    </w:pPr>
    <w:rPr>
      <w:rFonts w:ascii="GWZT-EN" w:hAnsi="Arial" w:eastAsia="黑体"/>
      <w:sz w:val="24"/>
    </w:rPr>
  </w:style>
  <w:style w:type="paragraph" w:styleId="9">
    <w:name w:val="heading 7"/>
    <w:basedOn w:val="1"/>
    <w:next w:val="1"/>
    <w:unhideWhenUsed/>
    <w:qFormat/>
    <w:uiPriority w:val="0"/>
    <w:pPr>
      <w:keepNext/>
      <w:keepLines/>
      <w:spacing w:before="240" w:beforeLines="0" w:beforeAutospacing="0" w:after="64" w:afterLines="0" w:afterAutospacing="0" w:line="317" w:lineRule="auto"/>
      <w:outlineLvl w:val="6"/>
    </w:pPr>
    <w:rPr>
      <w:rFonts w:ascii="GWZT-EN"/>
      <w:b/>
      <w:sz w:val="24"/>
    </w:rPr>
  </w:style>
  <w:style w:type="character" w:default="1" w:styleId="162">
    <w:name w:val="Default Paragraph Font"/>
    <w:qFormat/>
    <w:uiPriority w:val="0"/>
    <w:rPr>
      <w:rFonts w:ascii="GWZT-EN"/>
    </w:rPr>
  </w:style>
  <w:style w:type="table" w:default="1" w:styleId="19">
    <w:name w:val="Normal Table"/>
    <w:semiHidden/>
    <w:qFormat/>
    <w:uiPriority w:val="0"/>
    <w:pPr>
      <w:spacing w:line="240" w:lineRule="auto"/>
    </w:pPr>
    <w:rPr>
      <w:rFonts w:ascii="GWZT-EN"/>
    </w:rPr>
    <w:tblPr>
      <w:tblCellMar>
        <w:top w:w="0" w:type="dxa"/>
        <w:left w:w="108" w:type="dxa"/>
        <w:bottom w:w="0" w:type="dxa"/>
        <w:right w:w="108" w:type="dxa"/>
      </w:tblCellMar>
    </w:tblPr>
  </w:style>
  <w:style w:type="paragraph" w:styleId="2">
    <w:name w:val="endnote text"/>
    <w:basedOn w:val="1"/>
    <w:qFormat/>
    <w:uiPriority w:val="0"/>
    <w:pPr>
      <w:snapToGrid w:val="0"/>
      <w:jc w:val="left"/>
    </w:pPr>
  </w:style>
  <w:style w:type="paragraph" w:styleId="10">
    <w:name w:val="Normal Indent"/>
    <w:basedOn w:val="1"/>
    <w:unhideWhenUsed/>
    <w:qFormat/>
    <w:uiPriority w:val="99"/>
    <w:pPr>
      <w:ind w:firstLine="420" w:firstLineChars="200"/>
    </w:pPr>
  </w:style>
  <w:style w:type="paragraph" w:styleId="11">
    <w:name w:val="Body Text"/>
    <w:basedOn w:val="1"/>
    <w:next w:val="12"/>
    <w:semiHidden/>
    <w:qFormat/>
    <w:uiPriority w:val="0"/>
    <w:rPr>
      <w:rFonts w:ascii="GWZT-EN" w:hAnsi="仿宋" w:eastAsia="仿宋" w:cs="仿宋"/>
      <w:sz w:val="43"/>
      <w:szCs w:val="43"/>
      <w:lang w:val="en-US" w:eastAsia="en-US" w:bidi="ar-SA"/>
    </w:rPr>
  </w:style>
  <w:style w:type="paragraph" w:customStyle="1" w:styleId="12">
    <w:name w:val="Body Text First Indent 21"/>
    <w:basedOn w:val="13"/>
    <w:next w:val="14"/>
    <w:qFormat/>
    <w:uiPriority w:val="0"/>
    <w:pPr>
      <w:spacing w:after="120" w:afterLines="0"/>
      <w:ind w:firstLine="420" w:firstLineChars="200"/>
    </w:pPr>
    <w:rPr>
      <w:szCs w:val="24"/>
    </w:rPr>
  </w:style>
  <w:style w:type="paragraph" w:customStyle="1" w:styleId="13">
    <w:name w:val="Body Text Indent1"/>
    <w:basedOn w:val="1"/>
    <w:qFormat/>
    <w:uiPriority w:val="0"/>
    <w:pPr>
      <w:ind w:left="420" w:leftChars="200"/>
    </w:pPr>
    <w:rPr>
      <w:szCs w:val="20"/>
    </w:rPr>
  </w:style>
  <w:style w:type="paragraph" w:customStyle="1" w:styleId="14">
    <w:name w:val="Body Text First Indent1"/>
    <w:basedOn w:val="11"/>
    <w:qFormat/>
    <w:uiPriority w:val="0"/>
    <w:pPr>
      <w:ind w:firstLine="420" w:firstLineChars="100"/>
    </w:pPr>
  </w:style>
  <w:style w:type="paragraph" w:styleId="15">
    <w:name w:val="footer"/>
    <w:basedOn w:val="1"/>
    <w:qFormat/>
    <w:uiPriority w:val="0"/>
    <w:pPr>
      <w:tabs>
        <w:tab w:val="center" w:pos="4153"/>
        <w:tab w:val="right" w:pos="8306"/>
      </w:tabs>
      <w:snapToGrid/>
      <w:spacing w:line="578" w:lineRule="exact"/>
      <w:jc w:val="center"/>
    </w:pPr>
    <w:rPr>
      <w:rFonts w:ascii="GWZT-EN" w:hAnsi="Times New Roman" w:cs="Times New Roman"/>
      <w:sz w:val="28"/>
      <w:szCs w:val="2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GWZT-EN"/>
      <w:sz w:val="18"/>
    </w:rPr>
  </w:style>
  <w:style w:type="paragraph" w:styleId="17">
    <w:name w:val="Normal (Web)"/>
    <w:basedOn w:val="1"/>
    <w:qFormat/>
    <w:uiPriority w:val="0"/>
    <w:pPr>
      <w:spacing w:before="0" w:beforeAutospacing="1" w:after="0" w:afterAutospacing="1"/>
      <w:ind w:left="0" w:right="0"/>
      <w:jc w:val="left"/>
    </w:pPr>
    <w:rPr>
      <w:rFonts w:ascii="GWZT-EN"/>
      <w:kern w:val="0"/>
      <w:sz w:val="24"/>
      <w:lang w:val="en-US" w:eastAsia="zh-CN" w:bidi="ar"/>
    </w:rPr>
  </w:style>
  <w:style w:type="paragraph" w:styleId="18">
    <w:name w:val="Title"/>
    <w:basedOn w:val="1"/>
    <w:qFormat/>
    <w:uiPriority w:val="0"/>
    <w:pPr>
      <w:spacing w:before="240" w:beforeLines="0" w:beforeAutospacing="0" w:after="60" w:afterLines="0" w:afterAutospacing="0"/>
      <w:jc w:val="center"/>
      <w:outlineLvl w:val="0"/>
    </w:pPr>
    <w:rPr>
      <w:rFonts w:ascii="GWZT-EN" w:hAnsi="Arial"/>
      <w:b/>
      <w:sz w:val="32"/>
    </w:rPr>
  </w:style>
  <w:style w:type="table" w:styleId="20">
    <w:name w:val="Table Grid"/>
    <w:basedOn w:val="19"/>
    <w:qFormat/>
    <w:uiPriority w:val="0"/>
    <w:pPr>
      <w:widowControl w:val="0"/>
      <w:spacing w:line="240" w:lineRule="auto"/>
      <w:jc w:val="both"/>
    </w:pPr>
    <w:rPr>
      <w:rFonts w:ascii="GWZT-E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
    <w:name w:val="Table Theme"/>
    <w:basedOn w:val="19"/>
    <w:qFormat/>
    <w:uiPriority w:val="0"/>
    <w:pPr>
      <w:widowControl w:val="0"/>
      <w:spacing w:line="240" w:lineRule="auto"/>
      <w:jc w:val="both"/>
    </w:pPr>
    <w:rPr>
      <w:rFonts w:ascii="GWZT-E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2">
    <w:name w:val="Table Colorful 1"/>
    <w:basedOn w:val="19"/>
    <w:qFormat/>
    <w:uiPriority w:val="0"/>
    <w:pPr>
      <w:widowControl w:val="0"/>
      <w:spacing w:line="240" w:lineRule="auto"/>
      <w:jc w:val="both"/>
    </w:pPr>
    <w:rPr>
      <w:rFonts w:ascii="GWZT-EN"/>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3">
    <w:name w:val="Table Colorful 2"/>
    <w:basedOn w:val="19"/>
    <w:qFormat/>
    <w:uiPriority w:val="0"/>
    <w:pPr>
      <w:widowControl w:val="0"/>
      <w:spacing w:line="240" w:lineRule="auto"/>
      <w:jc w:val="both"/>
    </w:pPr>
    <w:rPr>
      <w:rFonts w:ascii="GWZT-EN"/>
    </w:r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24">
    <w:name w:val="Table Colorful 3"/>
    <w:basedOn w:val="19"/>
    <w:qFormat/>
    <w:uiPriority w:val="0"/>
    <w:pPr>
      <w:widowControl w:val="0"/>
      <w:spacing w:line="240" w:lineRule="auto"/>
      <w:jc w:val="both"/>
    </w:pPr>
    <w:rPr>
      <w:rFonts w:ascii="GWZT-EN"/>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25">
    <w:name w:val="Table Elegant"/>
    <w:basedOn w:val="19"/>
    <w:qFormat/>
    <w:uiPriority w:val="0"/>
    <w:pPr>
      <w:widowControl w:val="0"/>
      <w:spacing w:line="240" w:lineRule="auto"/>
      <w:jc w:val="both"/>
    </w:pPr>
    <w:rPr>
      <w:rFonts w:ascii="GWZT-E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26">
    <w:name w:val="Table Classic 1"/>
    <w:basedOn w:val="19"/>
    <w:qFormat/>
    <w:uiPriority w:val="0"/>
    <w:pPr>
      <w:widowControl w:val="0"/>
      <w:spacing w:line="240" w:lineRule="auto"/>
      <w:jc w:val="both"/>
    </w:pPr>
    <w:rPr>
      <w:rFonts w:ascii="GWZT-EN"/>
    </w:r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7">
    <w:name w:val="Table Classic 2"/>
    <w:basedOn w:val="19"/>
    <w:qFormat/>
    <w:uiPriority w:val="0"/>
    <w:pPr>
      <w:widowControl w:val="0"/>
      <w:spacing w:line="240" w:lineRule="auto"/>
      <w:jc w:val="both"/>
    </w:pPr>
    <w:rPr>
      <w:rFonts w:ascii="GWZT-EN"/>
    </w:r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8">
    <w:name w:val="Table Classic 3"/>
    <w:basedOn w:val="19"/>
    <w:qFormat/>
    <w:uiPriority w:val="0"/>
    <w:pPr>
      <w:widowControl w:val="0"/>
      <w:spacing w:line="240" w:lineRule="auto"/>
      <w:jc w:val="both"/>
    </w:pPr>
    <w:rPr>
      <w:rFonts w:ascii="GWZT-EN"/>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29">
    <w:name w:val="Table Classic 4"/>
    <w:basedOn w:val="19"/>
    <w:qFormat/>
    <w:uiPriority w:val="0"/>
    <w:pPr>
      <w:widowControl w:val="0"/>
      <w:spacing w:line="240" w:lineRule="auto"/>
      <w:jc w:val="both"/>
    </w:pPr>
    <w:rPr>
      <w:rFonts w:ascii="GWZT-EN"/>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30">
    <w:name w:val="Table Simple 1"/>
    <w:basedOn w:val="19"/>
    <w:qFormat/>
    <w:uiPriority w:val="0"/>
    <w:pPr>
      <w:widowControl w:val="0"/>
      <w:spacing w:line="240" w:lineRule="auto"/>
      <w:jc w:val="both"/>
    </w:pPr>
    <w:rPr>
      <w:rFonts w:ascii="GWZT-EN"/>
    </w:r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31">
    <w:name w:val="Table Simple 2"/>
    <w:basedOn w:val="19"/>
    <w:qFormat/>
    <w:uiPriority w:val="0"/>
    <w:pPr>
      <w:widowControl w:val="0"/>
      <w:spacing w:line="240" w:lineRule="auto"/>
      <w:jc w:val="both"/>
    </w:pPr>
    <w:rPr>
      <w:rFonts w:ascii="GWZT-EN"/>
    </w:r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32">
    <w:name w:val="Table Simple 3"/>
    <w:basedOn w:val="19"/>
    <w:qFormat/>
    <w:uiPriority w:val="0"/>
    <w:pPr>
      <w:widowControl w:val="0"/>
      <w:spacing w:line="240" w:lineRule="auto"/>
      <w:jc w:val="both"/>
    </w:pPr>
    <w:rPr>
      <w:rFonts w:ascii="GWZT-EN"/>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33">
    <w:name w:val="Table Subtle 1"/>
    <w:basedOn w:val="19"/>
    <w:qFormat/>
    <w:uiPriority w:val="0"/>
    <w:pPr>
      <w:widowControl w:val="0"/>
      <w:spacing w:line="240" w:lineRule="auto"/>
      <w:jc w:val="both"/>
    </w:pPr>
    <w:rPr>
      <w:rFonts w:ascii="GWZT-EN"/>
    </w:r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4">
    <w:name w:val="Table Subtle 2"/>
    <w:basedOn w:val="19"/>
    <w:qFormat/>
    <w:uiPriority w:val="0"/>
    <w:pPr>
      <w:widowControl w:val="0"/>
      <w:spacing w:line="240" w:lineRule="auto"/>
      <w:jc w:val="both"/>
    </w:pPr>
    <w:rPr>
      <w:rFonts w:ascii="GWZT-EN"/>
    </w:r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5">
    <w:name w:val="Table 3D effects 1"/>
    <w:basedOn w:val="19"/>
    <w:qFormat/>
    <w:uiPriority w:val="0"/>
    <w:pPr>
      <w:widowControl w:val="0"/>
      <w:spacing w:line="240" w:lineRule="auto"/>
      <w:jc w:val="both"/>
    </w:pPr>
    <w:rPr>
      <w:rFonts w:ascii="GWZT-EN"/>
    </w:r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36">
    <w:name w:val="Table 3D effects 2"/>
    <w:basedOn w:val="19"/>
    <w:qFormat/>
    <w:uiPriority w:val="0"/>
    <w:pPr>
      <w:widowControl w:val="0"/>
      <w:spacing w:line="240" w:lineRule="auto"/>
      <w:jc w:val="both"/>
    </w:pPr>
    <w:rPr>
      <w:rFonts w:ascii="GWZT-EN"/>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37">
    <w:name w:val="Table 3D effects 3"/>
    <w:basedOn w:val="19"/>
    <w:qFormat/>
    <w:uiPriority w:val="0"/>
    <w:pPr>
      <w:widowControl w:val="0"/>
      <w:spacing w:line="240" w:lineRule="auto"/>
      <w:jc w:val="both"/>
    </w:pPr>
    <w:rPr>
      <w:rFonts w:ascii="GWZT-EN"/>
    </w:r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38">
    <w:name w:val="Table List 1"/>
    <w:basedOn w:val="19"/>
    <w:qFormat/>
    <w:uiPriority w:val="0"/>
    <w:pPr>
      <w:widowControl w:val="0"/>
      <w:spacing w:line="240" w:lineRule="auto"/>
      <w:jc w:val="both"/>
    </w:pPr>
    <w:rPr>
      <w:rFonts w:ascii="GWZT-EN"/>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9">
    <w:name w:val="Table List 2"/>
    <w:basedOn w:val="19"/>
    <w:qFormat/>
    <w:uiPriority w:val="0"/>
    <w:pPr>
      <w:widowControl w:val="0"/>
      <w:spacing w:line="240" w:lineRule="auto"/>
      <w:jc w:val="both"/>
    </w:pPr>
    <w:rPr>
      <w:rFonts w:ascii="GWZT-EN"/>
    </w:r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0">
    <w:name w:val="Table List 3"/>
    <w:basedOn w:val="19"/>
    <w:qFormat/>
    <w:uiPriority w:val="0"/>
    <w:pPr>
      <w:widowControl w:val="0"/>
      <w:spacing w:line="240" w:lineRule="auto"/>
      <w:jc w:val="both"/>
    </w:pPr>
    <w:rPr>
      <w:rFonts w:ascii="GWZT-EN"/>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41">
    <w:name w:val="Table List 4"/>
    <w:basedOn w:val="19"/>
    <w:qFormat/>
    <w:uiPriority w:val="0"/>
    <w:pPr>
      <w:widowControl w:val="0"/>
      <w:spacing w:line="240" w:lineRule="auto"/>
      <w:jc w:val="both"/>
    </w:pPr>
    <w:rPr>
      <w:rFonts w:ascii="GWZT-EN"/>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42">
    <w:name w:val="Table List 5"/>
    <w:basedOn w:val="19"/>
    <w:qFormat/>
    <w:uiPriority w:val="0"/>
    <w:pPr>
      <w:widowControl w:val="0"/>
      <w:spacing w:line="240" w:lineRule="auto"/>
      <w:jc w:val="both"/>
    </w:pPr>
    <w:rPr>
      <w:rFonts w:ascii="GWZT-EN"/>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43">
    <w:name w:val="Table List 6"/>
    <w:basedOn w:val="19"/>
    <w:qFormat/>
    <w:uiPriority w:val="0"/>
    <w:pPr>
      <w:widowControl w:val="0"/>
      <w:spacing w:line="240" w:lineRule="auto"/>
      <w:jc w:val="both"/>
    </w:pPr>
    <w:rPr>
      <w:rFonts w:ascii="GWZT-EN"/>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44">
    <w:name w:val="Table List 7"/>
    <w:basedOn w:val="19"/>
    <w:qFormat/>
    <w:uiPriority w:val="0"/>
    <w:pPr>
      <w:widowControl w:val="0"/>
      <w:spacing w:line="240" w:lineRule="auto"/>
      <w:jc w:val="both"/>
    </w:pPr>
    <w:rPr>
      <w:rFonts w:ascii="GWZT-EN"/>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45">
    <w:name w:val="Table List 8"/>
    <w:basedOn w:val="19"/>
    <w:qFormat/>
    <w:uiPriority w:val="0"/>
    <w:pPr>
      <w:widowControl w:val="0"/>
      <w:spacing w:line="240" w:lineRule="auto"/>
      <w:jc w:val="both"/>
    </w:pPr>
    <w:rPr>
      <w:rFonts w:ascii="GWZT-EN"/>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46">
    <w:name w:val="Table Contemporary"/>
    <w:basedOn w:val="19"/>
    <w:qFormat/>
    <w:uiPriority w:val="0"/>
    <w:pPr>
      <w:widowControl w:val="0"/>
      <w:spacing w:line="240" w:lineRule="auto"/>
      <w:jc w:val="both"/>
    </w:pPr>
    <w:rPr>
      <w:rFonts w:ascii="GWZT-EN"/>
    </w:r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47">
    <w:name w:val="Table Columns 1"/>
    <w:basedOn w:val="19"/>
    <w:qFormat/>
    <w:uiPriority w:val="0"/>
    <w:pPr>
      <w:widowControl w:val="0"/>
      <w:spacing w:line="240" w:lineRule="auto"/>
      <w:jc w:val="both"/>
    </w:pPr>
    <w:rPr>
      <w:rFonts w:ascii="GWZT-EN"/>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48">
    <w:name w:val="Table Columns 2"/>
    <w:basedOn w:val="19"/>
    <w:qFormat/>
    <w:uiPriority w:val="0"/>
    <w:pPr>
      <w:widowControl w:val="0"/>
      <w:spacing w:line="240" w:lineRule="auto"/>
      <w:jc w:val="both"/>
    </w:pPr>
    <w:rPr>
      <w:rFonts w:ascii="GWZT-EN"/>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49">
    <w:name w:val="Table Columns 3"/>
    <w:basedOn w:val="19"/>
    <w:qFormat/>
    <w:uiPriority w:val="0"/>
    <w:pPr>
      <w:widowControl w:val="0"/>
      <w:spacing w:line="240" w:lineRule="auto"/>
      <w:jc w:val="both"/>
    </w:pPr>
    <w:rPr>
      <w:rFonts w:ascii="GWZT-EN"/>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50">
    <w:name w:val="Table Columns 4"/>
    <w:basedOn w:val="19"/>
    <w:qFormat/>
    <w:uiPriority w:val="0"/>
    <w:pPr>
      <w:widowControl w:val="0"/>
      <w:spacing w:line="240" w:lineRule="auto"/>
      <w:jc w:val="both"/>
    </w:pPr>
    <w:rPr>
      <w:rFonts w:ascii="GWZT-EN"/>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1">
    <w:name w:val="Table Columns 5"/>
    <w:basedOn w:val="19"/>
    <w:qFormat/>
    <w:uiPriority w:val="0"/>
    <w:pPr>
      <w:widowControl w:val="0"/>
      <w:spacing w:line="240" w:lineRule="auto"/>
      <w:jc w:val="both"/>
    </w:pPr>
    <w:rPr>
      <w:rFonts w:ascii="GWZT-EN"/>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52">
    <w:name w:val="Table Grid 1"/>
    <w:basedOn w:val="19"/>
    <w:qFormat/>
    <w:uiPriority w:val="0"/>
    <w:pPr>
      <w:widowControl w:val="0"/>
      <w:spacing w:line="240" w:lineRule="auto"/>
      <w:jc w:val="both"/>
    </w:pPr>
    <w:rPr>
      <w:rFonts w:ascii="GWZT-E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53">
    <w:name w:val="Table Grid 2"/>
    <w:basedOn w:val="19"/>
    <w:qFormat/>
    <w:uiPriority w:val="0"/>
    <w:pPr>
      <w:widowControl w:val="0"/>
      <w:spacing w:line="240" w:lineRule="auto"/>
      <w:jc w:val="both"/>
    </w:pPr>
    <w:rPr>
      <w:rFonts w:ascii="GWZT-EN"/>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54">
    <w:name w:val="Table Grid 3"/>
    <w:basedOn w:val="19"/>
    <w:qFormat/>
    <w:uiPriority w:val="0"/>
    <w:pPr>
      <w:widowControl w:val="0"/>
      <w:spacing w:line="240" w:lineRule="auto"/>
      <w:jc w:val="both"/>
    </w:pPr>
    <w:rPr>
      <w:rFonts w:ascii="GWZT-E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55">
    <w:name w:val="Table Grid 4"/>
    <w:basedOn w:val="19"/>
    <w:qFormat/>
    <w:uiPriority w:val="0"/>
    <w:pPr>
      <w:widowControl w:val="0"/>
      <w:spacing w:line="240" w:lineRule="auto"/>
      <w:jc w:val="both"/>
    </w:pPr>
    <w:rPr>
      <w:rFonts w:ascii="GWZT-E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56">
    <w:name w:val="Table Grid 5"/>
    <w:basedOn w:val="19"/>
    <w:qFormat/>
    <w:uiPriority w:val="0"/>
    <w:pPr>
      <w:widowControl w:val="0"/>
      <w:spacing w:line="240" w:lineRule="auto"/>
      <w:jc w:val="both"/>
    </w:pPr>
    <w:rPr>
      <w:rFonts w:ascii="GWZT-E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57">
    <w:name w:val="Table Grid 6"/>
    <w:basedOn w:val="19"/>
    <w:qFormat/>
    <w:uiPriority w:val="0"/>
    <w:pPr>
      <w:widowControl w:val="0"/>
      <w:spacing w:line="240" w:lineRule="auto"/>
      <w:jc w:val="both"/>
    </w:pPr>
    <w:rPr>
      <w:rFonts w:ascii="GWZT-EN"/>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58">
    <w:name w:val="Table Grid 7"/>
    <w:basedOn w:val="19"/>
    <w:qFormat/>
    <w:uiPriority w:val="0"/>
    <w:pPr>
      <w:widowControl w:val="0"/>
      <w:spacing w:line="240" w:lineRule="auto"/>
      <w:jc w:val="both"/>
    </w:pPr>
    <w:rPr>
      <w:rFonts w:ascii="GWZT-E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59">
    <w:name w:val="Table Grid 8"/>
    <w:basedOn w:val="19"/>
    <w:qFormat/>
    <w:uiPriority w:val="0"/>
    <w:pPr>
      <w:widowControl w:val="0"/>
      <w:spacing w:line="240" w:lineRule="auto"/>
      <w:jc w:val="both"/>
    </w:pPr>
    <w:rPr>
      <w:rFonts w:ascii="GWZT-E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60">
    <w:name w:val="Table Web 1"/>
    <w:basedOn w:val="19"/>
    <w:qFormat/>
    <w:uiPriority w:val="0"/>
    <w:pPr>
      <w:widowControl w:val="0"/>
      <w:spacing w:line="240" w:lineRule="auto"/>
      <w:jc w:val="both"/>
    </w:pPr>
    <w:rPr>
      <w:rFonts w:ascii="GWZT-EN"/>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61">
    <w:name w:val="Table Web 2"/>
    <w:basedOn w:val="19"/>
    <w:qFormat/>
    <w:uiPriority w:val="0"/>
    <w:pPr>
      <w:widowControl w:val="0"/>
      <w:spacing w:line="240" w:lineRule="auto"/>
      <w:jc w:val="both"/>
    </w:pPr>
    <w:rPr>
      <w:rFonts w:ascii="GWZT-EN"/>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62">
    <w:name w:val="Table Web 3"/>
    <w:basedOn w:val="19"/>
    <w:qFormat/>
    <w:uiPriority w:val="0"/>
    <w:pPr>
      <w:widowControl w:val="0"/>
      <w:spacing w:line="240" w:lineRule="auto"/>
      <w:jc w:val="both"/>
    </w:pPr>
    <w:rPr>
      <w:rFonts w:ascii="GWZT-EN"/>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63">
    <w:name w:val="Table Professional"/>
    <w:basedOn w:val="19"/>
    <w:qFormat/>
    <w:uiPriority w:val="0"/>
    <w:pPr>
      <w:widowControl w:val="0"/>
      <w:spacing w:line="240" w:lineRule="auto"/>
      <w:jc w:val="both"/>
    </w:pPr>
    <w:rPr>
      <w:rFonts w:ascii="GWZT-E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64">
    <w:name w:val="Light Shading"/>
    <w:basedOn w:val="19"/>
    <w:qFormat/>
    <w:uiPriority w:val="60"/>
    <w:pPr>
      <w:spacing w:line="240" w:lineRule="auto"/>
    </w:pPr>
    <w:rPr>
      <w:rFonts w:ascii="GWZT-EN"/>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65">
    <w:name w:val="Light Shading Accent 1"/>
    <w:basedOn w:val="19"/>
    <w:qFormat/>
    <w:uiPriority w:val="60"/>
    <w:pPr>
      <w:spacing w:line="240" w:lineRule="auto"/>
    </w:pPr>
    <w:rPr>
      <w:rFonts w:ascii="GWZT-EN"/>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66">
    <w:name w:val="Light Shading Accent 2"/>
    <w:basedOn w:val="19"/>
    <w:qFormat/>
    <w:uiPriority w:val="60"/>
    <w:pPr>
      <w:spacing w:line="240" w:lineRule="auto"/>
    </w:pPr>
    <w:rPr>
      <w:rFonts w:ascii="GWZT-EN"/>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67">
    <w:name w:val="Light Shading Accent 3"/>
    <w:basedOn w:val="19"/>
    <w:qFormat/>
    <w:uiPriority w:val="60"/>
    <w:pPr>
      <w:spacing w:line="240" w:lineRule="auto"/>
    </w:pPr>
    <w:rPr>
      <w:rFonts w:ascii="GWZT-EN"/>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68">
    <w:name w:val="Light Shading Accent 4"/>
    <w:basedOn w:val="19"/>
    <w:qFormat/>
    <w:uiPriority w:val="60"/>
    <w:pPr>
      <w:spacing w:line="240" w:lineRule="auto"/>
    </w:pPr>
    <w:rPr>
      <w:rFonts w:ascii="GWZT-EN"/>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69">
    <w:name w:val="Light Shading Accent 5"/>
    <w:basedOn w:val="19"/>
    <w:qFormat/>
    <w:uiPriority w:val="60"/>
    <w:pPr>
      <w:spacing w:line="240" w:lineRule="auto"/>
    </w:pPr>
    <w:rPr>
      <w:rFonts w:ascii="GWZT-EN"/>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70">
    <w:name w:val="Light Shading Accent 6"/>
    <w:basedOn w:val="19"/>
    <w:qFormat/>
    <w:uiPriority w:val="60"/>
    <w:pPr>
      <w:spacing w:line="240" w:lineRule="auto"/>
    </w:pPr>
    <w:rPr>
      <w:rFonts w:ascii="GWZT-EN"/>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71">
    <w:name w:val="Light List"/>
    <w:basedOn w:val="19"/>
    <w:qFormat/>
    <w:uiPriority w:val="61"/>
    <w:pPr>
      <w:spacing w:line="240" w:lineRule="auto"/>
    </w:pPr>
    <w:rPr>
      <w:rFonts w:ascii="GWZT-E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72">
    <w:name w:val="Light List Accent 1"/>
    <w:basedOn w:val="19"/>
    <w:qFormat/>
    <w:uiPriority w:val="61"/>
    <w:pPr>
      <w:spacing w:line="240" w:lineRule="auto"/>
    </w:pPr>
    <w:rPr>
      <w:rFonts w:ascii="GWZT-EN"/>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73">
    <w:name w:val="Light List Accent 2"/>
    <w:basedOn w:val="19"/>
    <w:qFormat/>
    <w:uiPriority w:val="61"/>
    <w:pPr>
      <w:spacing w:line="240" w:lineRule="auto"/>
    </w:pPr>
    <w:rPr>
      <w:rFonts w:ascii="GWZT-EN"/>
    </w:rPr>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74">
    <w:name w:val="Light List Accent 3"/>
    <w:basedOn w:val="19"/>
    <w:qFormat/>
    <w:uiPriority w:val="61"/>
    <w:pPr>
      <w:spacing w:line="240" w:lineRule="auto"/>
    </w:pPr>
    <w:rPr>
      <w:rFonts w:ascii="GWZT-EN"/>
    </w:rPr>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75">
    <w:name w:val="Light List Accent 4"/>
    <w:basedOn w:val="19"/>
    <w:qFormat/>
    <w:uiPriority w:val="61"/>
    <w:pPr>
      <w:spacing w:line="240" w:lineRule="auto"/>
    </w:pPr>
    <w:rPr>
      <w:rFonts w:ascii="GWZT-EN"/>
    </w:rPr>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76">
    <w:name w:val="Light List Accent 5"/>
    <w:basedOn w:val="19"/>
    <w:qFormat/>
    <w:uiPriority w:val="61"/>
    <w:pPr>
      <w:spacing w:line="240" w:lineRule="auto"/>
    </w:pPr>
    <w:rPr>
      <w:rFonts w:ascii="GWZT-EN"/>
    </w:rPr>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77">
    <w:name w:val="Light List Accent 6"/>
    <w:basedOn w:val="19"/>
    <w:qFormat/>
    <w:uiPriority w:val="61"/>
    <w:pPr>
      <w:spacing w:line="240" w:lineRule="auto"/>
    </w:pPr>
    <w:rPr>
      <w:rFonts w:ascii="GWZT-EN"/>
    </w:rPr>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78">
    <w:name w:val="Light Grid"/>
    <w:basedOn w:val="19"/>
    <w:qFormat/>
    <w:uiPriority w:val="62"/>
    <w:pPr>
      <w:spacing w:line="240" w:lineRule="auto"/>
    </w:pPr>
    <w:rPr>
      <w:rFonts w:ascii="GWZT-EN"/>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79">
    <w:name w:val="Light Grid Accent 1"/>
    <w:basedOn w:val="19"/>
    <w:qFormat/>
    <w:uiPriority w:val="62"/>
    <w:pPr>
      <w:spacing w:line="240" w:lineRule="auto"/>
    </w:pPr>
    <w:rPr>
      <w:rFonts w:ascii="GWZT-EN"/>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80">
    <w:name w:val="Light Grid Accent 2"/>
    <w:basedOn w:val="19"/>
    <w:qFormat/>
    <w:uiPriority w:val="62"/>
    <w:pPr>
      <w:spacing w:line="240" w:lineRule="auto"/>
    </w:pPr>
    <w:rPr>
      <w:rFonts w:ascii="GWZT-EN"/>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81">
    <w:name w:val="Light Grid Accent 3"/>
    <w:basedOn w:val="19"/>
    <w:qFormat/>
    <w:uiPriority w:val="62"/>
    <w:pPr>
      <w:spacing w:line="240" w:lineRule="auto"/>
    </w:pPr>
    <w:rPr>
      <w:rFonts w:ascii="GWZT-EN"/>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82">
    <w:name w:val="Light Grid Accent 4"/>
    <w:basedOn w:val="19"/>
    <w:qFormat/>
    <w:uiPriority w:val="62"/>
    <w:pPr>
      <w:spacing w:line="240" w:lineRule="auto"/>
    </w:pPr>
    <w:rPr>
      <w:rFonts w:ascii="GWZT-EN"/>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83">
    <w:name w:val="Light Grid Accent 5"/>
    <w:basedOn w:val="19"/>
    <w:qFormat/>
    <w:uiPriority w:val="62"/>
    <w:pPr>
      <w:spacing w:line="240" w:lineRule="auto"/>
    </w:pPr>
    <w:rPr>
      <w:rFonts w:ascii="GWZT-EN"/>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84">
    <w:name w:val="Light Grid Accent 6"/>
    <w:basedOn w:val="19"/>
    <w:qFormat/>
    <w:uiPriority w:val="62"/>
    <w:pPr>
      <w:spacing w:line="240" w:lineRule="auto"/>
    </w:pPr>
    <w:rPr>
      <w:rFonts w:ascii="GWZT-EN"/>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85">
    <w:name w:val="Medium Shading 1"/>
    <w:basedOn w:val="19"/>
    <w:qFormat/>
    <w:uiPriority w:val="63"/>
    <w:pPr>
      <w:spacing w:line="240" w:lineRule="auto"/>
    </w:pPr>
    <w:rPr>
      <w:rFonts w:ascii="GWZT-EN"/>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86">
    <w:name w:val="Medium Shading 1 Accent 1"/>
    <w:basedOn w:val="19"/>
    <w:qFormat/>
    <w:uiPriority w:val="63"/>
    <w:pPr>
      <w:spacing w:line="240" w:lineRule="auto"/>
    </w:pPr>
    <w:rPr>
      <w:rFonts w:ascii="GWZT-EN"/>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87">
    <w:name w:val="Medium Shading 1 Accent 2"/>
    <w:basedOn w:val="19"/>
    <w:qFormat/>
    <w:uiPriority w:val="63"/>
    <w:pPr>
      <w:spacing w:line="240" w:lineRule="auto"/>
    </w:pPr>
    <w:rPr>
      <w:rFonts w:ascii="GWZT-EN"/>
    </w:rPr>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88">
    <w:name w:val="Medium Shading 1 Accent 3"/>
    <w:basedOn w:val="19"/>
    <w:qFormat/>
    <w:uiPriority w:val="63"/>
    <w:pPr>
      <w:spacing w:line="240" w:lineRule="auto"/>
    </w:pPr>
    <w:rPr>
      <w:rFonts w:ascii="GWZT-EN"/>
    </w:rPr>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89">
    <w:name w:val="Medium Shading 1 Accent 4"/>
    <w:basedOn w:val="19"/>
    <w:qFormat/>
    <w:uiPriority w:val="63"/>
    <w:pPr>
      <w:spacing w:line="240" w:lineRule="auto"/>
    </w:pPr>
    <w:rPr>
      <w:rFonts w:ascii="GWZT-EN"/>
    </w:rPr>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90">
    <w:name w:val="Medium Shading 1 Accent 5"/>
    <w:basedOn w:val="19"/>
    <w:qFormat/>
    <w:uiPriority w:val="63"/>
    <w:pPr>
      <w:spacing w:line="240" w:lineRule="auto"/>
    </w:pPr>
    <w:rPr>
      <w:rFonts w:ascii="GWZT-EN"/>
    </w:rPr>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91">
    <w:name w:val="Medium Shading 1 Accent 6"/>
    <w:basedOn w:val="19"/>
    <w:qFormat/>
    <w:uiPriority w:val="63"/>
    <w:pPr>
      <w:spacing w:line="240" w:lineRule="auto"/>
    </w:pPr>
    <w:rPr>
      <w:rFonts w:ascii="GWZT-EN"/>
    </w:rPr>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92">
    <w:name w:val="Medium Shading 2"/>
    <w:basedOn w:val="19"/>
    <w:qFormat/>
    <w:uiPriority w:val="64"/>
    <w:pPr>
      <w:spacing w:line="240" w:lineRule="auto"/>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93">
    <w:name w:val="Medium Shading 2 Accent 1"/>
    <w:basedOn w:val="19"/>
    <w:qFormat/>
    <w:uiPriority w:val="64"/>
    <w:pPr>
      <w:spacing w:line="240" w:lineRule="auto"/>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94">
    <w:name w:val="Medium Shading 2 Accent 2"/>
    <w:basedOn w:val="19"/>
    <w:qFormat/>
    <w:uiPriority w:val="64"/>
    <w:pPr>
      <w:spacing w:line="240" w:lineRule="auto"/>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95">
    <w:name w:val="Medium Shading 2 Accent 3"/>
    <w:basedOn w:val="19"/>
    <w:qFormat/>
    <w:uiPriority w:val="64"/>
    <w:pPr>
      <w:spacing w:line="240" w:lineRule="auto"/>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96">
    <w:name w:val="Medium Shading 2 Accent 4"/>
    <w:basedOn w:val="19"/>
    <w:qFormat/>
    <w:uiPriority w:val="64"/>
    <w:pPr>
      <w:spacing w:line="240" w:lineRule="auto"/>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97">
    <w:name w:val="Medium Shading 2 Accent 5"/>
    <w:basedOn w:val="19"/>
    <w:qFormat/>
    <w:uiPriority w:val="64"/>
    <w:pPr>
      <w:spacing w:line="240" w:lineRule="auto"/>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98">
    <w:name w:val="Medium Shading 2 Accent 6"/>
    <w:basedOn w:val="19"/>
    <w:qFormat/>
    <w:uiPriority w:val="64"/>
    <w:pPr>
      <w:spacing w:line="240" w:lineRule="auto"/>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99">
    <w:name w:val="Medium List 1"/>
    <w:basedOn w:val="19"/>
    <w:qFormat/>
    <w:uiPriority w:val="65"/>
    <w:pPr>
      <w:spacing w:line="240" w:lineRule="auto"/>
    </w:pPr>
    <w:rPr>
      <w:rFonts w:ascii="GWZT-EN"/>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00">
    <w:name w:val="Medium List 1 Accent 1"/>
    <w:basedOn w:val="19"/>
    <w:qFormat/>
    <w:uiPriority w:val="65"/>
    <w:pPr>
      <w:spacing w:line="240" w:lineRule="auto"/>
    </w:pPr>
    <w:rPr>
      <w:rFonts w:ascii="GWZT-EN"/>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01">
    <w:name w:val="Medium List 1 Accent 2"/>
    <w:basedOn w:val="19"/>
    <w:qFormat/>
    <w:uiPriority w:val="65"/>
    <w:pPr>
      <w:spacing w:line="240" w:lineRule="auto"/>
    </w:pPr>
    <w:rPr>
      <w:rFonts w:ascii="GWZT-EN"/>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02">
    <w:name w:val="Medium List 1 Accent 3"/>
    <w:basedOn w:val="19"/>
    <w:qFormat/>
    <w:uiPriority w:val="65"/>
    <w:pPr>
      <w:spacing w:line="240" w:lineRule="auto"/>
    </w:pPr>
    <w:rPr>
      <w:rFonts w:ascii="GWZT-EN"/>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03">
    <w:name w:val="Medium List 1 Accent 4"/>
    <w:basedOn w:val="19"/>
    <w:qFormat/>
    <w:uiPriority w:val="65"/>
    <w:pPr>
      <w:spacing w:line="240" w:lineRule="auto"/>
    </w:pPr>
    <w:rPr>
      <w:rFonts w:ascii="GWZT-EN"/>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04">
    <w:name w:val="Medium List 1 Accent 5"/>
    <w:basedOn w:val="19"/>
    <w:qFormat/>
    <w:uiPriority w:val="65"/>
    <w:pPr>
      <w:spacing w:line="240" w:lineRule="auto"/>
    </w:pPr>
    <w:rPr>
      <w:rFonts w:ascii="GWZT-EN"/>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05">
    <w:name w:val="Medium List 1 Accent 6"/>
    <w:basedOn w:val="19"/>
    <w:qFormat/>
    <w:uiPriority w:val="65"/>
    <w:pPr>
      <w:spacing w:line="240" w:lineRule="auto"/>
    </w:pPr>
    <w:rPr>
      <w:rFonts w:ascii="GWZT-EN"/>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06">
    <w:name w:val="Medium List 2"/>
    <w:basedOn w:val="19"/>
    <w:qFormat/>
    <w:uiPriority w:val="66"/>
    <w:pPr>
      <w:spacing w:line="240" w:lineRule="auto"/>
    </w:pPr>
    <w:rPr>
      <w:rFonts w:ascii="GWZT-EN" w:hAnsi="Symbol" w:eastAsia="黑体"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07">
    <w:name w:val="Medium List 2 Accent 1"/>
    <w:basedOn w:val="19"/>
    <w:qFormat/>
    <w:uiPriority w:val="66"/>
    <w:pPr>
      <w:spacing w:line="240" w:lineRule="auto"/>
    </w:pPr>
    <w:rPr>
      <w:rFonts w:ascii="GWZT-EN" w:hAnsi="Symbol" w:eastAsia="黑体"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08">
    <w:name w:val="Medium List 2 Accent 2"/>
    <w:basedOn w:val="19"/>
    <w:qFormat/>
    <w:uiPriority w:val="66"/>
    <w:pPr>
      <w:spacing w:line="240" w:lineRule="auto"/>
    </w:pPr>
    <w:rPr>
      <w:rFonts w:ascii="GWZT-EN" w:hAnsi="Symbol" w:eastAsia="黑体"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09">
    <w:name w:val="Medium List 2 Accent 3"/>
    <w:basedOn w:val="19"/>
    <w:qFormat/>
    <w:uiPriority w:val="66"/>
    <w:pPr>
      <w:spacing w:line="240" w:lineRule="auto"/>
    </w:pPr>
    <w:rPr>
      <w:rFonts w:ascii="GWZT-EN" w:hAnsi="Symbol" w:eastAsia="黑体"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10">
    <w:name w:val="Medium List 2 Accent 4"/>
    <w:basedOn w:val="19"/>
    <w:qFormat/>
    <w:uiPriority w:val="66"/>
    <w:pPr>
      <w:spacing w:line="240" w:lineRule="auto"/>
    </w:pPr>
    <w:rPr>
      <w:rFonts w:ascii="GWZT-EN" w:hAnsi="Symbol" w:eastAsia="黑体"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11">
    <w:name w:val="Medium List 2 Accent 5"/>
    <w:basedOn w:val="19"/>
    <w:qFormat/>
    <w:uiPriority w:val="66"/>
    <w:pPr>
      <w:spacing w:line="240" w:lineRule="auto"/>
    </w:pPr>
    <w:rPr>
      <w:rFonts w:ascii="GWZT-EN" w:hAnsi="Symbol" w:eastAsia="黑体"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12">
    <w:name w:val="Medium List 2 Accent 6"/>
    <w:basedOn w:val="19"/>
    <w:qFormat/>
    <w:uiPriority w:val="66"/>
    <w:pPr>
      <w:spacing w:line="240" w:lineRule="auto"/>
    </w:pPr>
    <w:rPr>
      <w:rFonts w:ascii="GWZT-EN" w:hAnsi="Symbol" w:eastAsia="黑体"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13">
    <w:name w:val="Medium Grid 1"/>
    <w:basedOn w:val="19"/>
    <w:qFormat/>
    <w:uiPriority w:val="67"/>
    <w:pPr>
      <w:spacing w:line="240" w:lineRule="auto"/>
    </w:pPr>
    <w:rPr>
      <w:rFonts w:ascii="GWZT-EN"/>
    </w:rPr>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4">
    <w:name w:val="Medium Grid 1 Accent 1"/>
    <w:basedOn w:val="19"/>
    <w:qFormat/>
    <w:uiPriority w:val="67"/>
    <w:pPr>
      <w:spacing w:line="240" w:lineRule="auto"/>
    </w:pPr>
    <w:rPr>
      <w:rFonts w:ascii="GWZT-EN"/>
    </w:r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15">
    <w:name w:val="Medium Grid 1 Accent 2"/>
    <w:basedOn w:val="19"/>
    <w:qFormat/>
    <w:uiPriority w:val="67"/>
    <w:pPr>
      <w:spacing w:line="240" w:lineRule="auto"/>
    </w:pPr>
    <w:rPr>
      <w:rFonts w:ascii="GWZT-EN"/>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16">
    <w:name w:val="Medium Grid 1 Accent 3"/>
    <w:basedOn w:val="19"/>
    <w:qFormat/>
    <w:uiPriority w:val="67"/>
    <w:pPr>
      <w:spacing w:line="240" w:lineRule="auto"/>
    </w:pPr>
    <w:rPr>
      <w:rFonts w:ascii="GWZT-EN"/>
    </w:rPr>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17">
    <w:name w:val="Medium Grid 1 Accent 4"/>
    <w:basedOn w:val="19"/>
    <w:qFormat/>
    <w:uiPriority w:val="67"/>
    <w:pPr>
      <w:spacing w:line="240" w:lineRule="auto"/>
    </w:pPr>
    <w:rPr>
      <w:rFonts w:ascii="GWZT-EN"/>
    </w:rPr>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18">
    <w:name w:val="Medium Grid 1 Accent 5"/>
    <w:basedOn w:val="19"/>
    <w:qFormat/>
    <w:uiPriority w:val="67"/>
    <w:pPr>
      <w:spacing w:line="240" w:lineRule="auto"/>
    </w:pPr>
    <w:rPr>
      <w:rFonts w:ascii="GWZT-EN"/>
    </w:rPr>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19">
    <w:name w:val="Medium Grid 1 Accent 6"/>
    <w:basedOn w:val="19"/>
    <w:qFormat/>
    <w:uiPriority w:val="67"/>
    <w:pPr>
      <w:spacing w:line="240" w:lineRule="auto"/>
    </w:pPr>
    <w:rPr>
      <w:rFonts w:ascii="GWZT-EN"/>
    </w:rPr>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20">
    <w:name w:val="Medium Grid 2"/>
    <w:basedOn w:val="19"/>
    <w:qFormat/>
    <w:uiPriority w:val="68"/>
    <w:pPr>
      <w:spacing w:line="240" w:lineRule="auto"/>
    </w:pPr>
    <w:rPr>
      <w:rFonts w:ascii="GWZT-EN" w:hAnsi="Symbol" w:eastAsia="黑体"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121">
    <w:name w:val="Medium Grid 2 Accent 1"/>
    <w:basedOn w:val="19"/>
    <w:qFormat/>
    <w:uiPriority w:val="68"/>
    <w:pPr>
      <w:spacing w:line="240" w:lineRule="auto"/>
    </w:pPr>
    <w:rPr>
      <w:rFonts w:ascii="GWZT-EN" w:hAnsi="Symbol" w:eastAsia="黑体"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122">
    <w:name w:val="Medium Grid 2 Accent 2"/>
    <w:basedOn w:val="19"/>
    <w:qFormat/>
    <w:uiPriority w:val="68"/>
    <w:pPr>
      <w:spacing w:line="240" w:lineRule="auto"/>
    </w:pPr>
    <w:rPr>
      <w:rFonts w:ascii="GWZT-EN" w:hAnsi="Symbol" w:eastAsia="黑体"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123">
    <w:name w:val="Medium Grid 2 Accent 3"/>
    <w:basedOn w:val="19"/>
    <w:qFormat/>
    <w:uiPriority w:val="68"/>
    <w:pPr>
      <w:spacing w:line="240" w:lineRule="auto"/>
    </w:pPr>
    <w:rPr>
      <w:rFonts w:ascii="GWZT-EN" w:hAnsi="Symbol" w:eastAsia="黑体"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124">
    <w:name w:val="Medium Grid 2 Accent 4"/>
    <w:basedOn w:val="19"/>
    <w:qFormat/>
    <w:uiPriority w:val="68"/>
    <w:pPr>
      <w:spacing w:line="240" w:lineRule="auto"/>
    </w:pPr>
    <w:rPr>
      <w:rFonts w:ascii="GWZT-EN" w:hAnsi="Symbol" w:eastAsia="黑体"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125">
    <w:name w:val="Medium Grid 2 Accent 5"/>
    <w:basedOn w:val="19"/>
    <w:qFormat/>
    <w:uiPriority w:val="68"/>
    <w:pPr>
      <w:spacing w:line="240" w:lineRule="auto"/>
    </w:pPr>
    <w:rPr>
      <w:rFonts w:ascii="GWZT-EN" w:hAnsi="Symbol" w:eastAsia="黑体"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126">
    <w:name w:val="Medium Grid 2 Accent 6"/>
    <w:basedOn w:val="19"/>
    <w:qFormat/>
    <w:uiPriority w:val="68"/>
    <w:pPr>
      <w:spacing w:line="240" w:lineRule="auto"/>
    </w:pPr>
    <w:rPr>
      <w:rFonts w:ascii="GWZT-EN" w:hAnsi="Symbol" w:eastAsia="黑体"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127">
    <w:name w:val="Medium Grid 3"/>
    <w:basedOn w:val="19"/>
    <w:qFormat/>
    <w:uiPriority w:val="69"/>
    <w:pPr>
      <w:spacing w:line="240" w:lineRule="auto"/>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128">
    <w:name w:val="Medium Grid 3 Accent 1"/>
    <w:basedOn w:val="19"/>
    <w:qFormat/>
    <w:uiPriority w:val="69"/>
    <w:pPr>
      <w:spacing w:line="240" w:lineRule="auto"/>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129">
    <w:name w:val="Medium Grid 3 Accent 2"/>
    <w:basedOn w:val="19"/>
    <w:qFormat/>
    <w:uiPriority w:val="69"/>
    <w:pPr>
      <w:spacing w:line="240" w:lineRule="auto"/>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30">
    <w:name w:val="Medium Grid 3 Accent 3"/>
    <w:basedOn w:val="19"/>
    <w:qFormat/>
    <w:uiPriority w:val="69"/>
    <w:pPr>
      <w:spacing w:line="240" w:lineRule="auto"/>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131">
    <w:name w:val="Medium Grid 3 Accent 4"/>
    <w:basedOn w:val="19"/>
    <w:qFormat/>
    <w:uiPriority w:val="69"/>
    <w:pPr>
      <w:spacing w:line="240" w:lineRule="auto"/>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132">
    <w:name w:val="Medium Grid 3 Accent 5"/>
    <w:basedOn w:val="19"/>
    <w:qFormat/>
    <w:uiPriority w:val="69"/>
    <w:pPr>
      <w:spacing w:line="240" w:lineRule="auto"/>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133">
    <w:name w:val="Medium Grid 3 Accent 6"/>
    <w:basedOn w:val="19"/>
    <w:qFormat/>
    <w:uiPriority w:val="69"/>
    <w:pPr>
      <w:spacing w:line="240" w:lineRule="auto"/>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134">
    <w:name w:val="Dark List"/>
    <w:basedOn w:val="19"/>
    <w:qFormat/>
    <w:uiPriority w:val="70"/>
    <w:pPr>
      <w:spacing w:line="240" w:lineRule="auto"/>
    </w:pPr>
    <w:rPr>
      <w:rFonts w:ascii="GWZT-EN"/>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35">
    <w:name w:val="Dark List Accent 1"/>
    <w:basedOn w:val="19"/>
    <w:qFormat/>
    <w:uiPriority w:val="70"/>
    <w:pPr>
      <w:spacing w:line="240" w:lineRule="auto"/>
    </w:pPr>
    <w:rPr>
      <w:rFonts w:ascii="GWZT-EN"/>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136">
    <w:name w:val="Dark List Accent 2"/>
    <w:basedOn w:val="19"/>
    <w:qFormat/>
    <w:uiPriority w:val="70"/>
    <w:pPr>
      <w:spacing w:line="240" w:lineRule="auto"/>
    </w:pPr>
    <w:rPr>
      <w:rFonts w:ascii="GWZT-EN"/>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137">
    <w:name w:val="Dark List Accent 3"/>
    <w:basedOn w:val="19"/>
    <w:qFormat/>
    <w:uiPriority w:val="70"/>
    <w:pPr>
      <w:spacing w:line="240" w:lineRule="auto"/>
    </w:pPr>
    <w:rPr>
      <w:rFonts w:ascii="GWZT-EN"/>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138">
    <w:name w:val="Dark List Accent 4"/>
    <w:basedOn w:val="19"/>
    <w:qFormat/>
    <w:uiPriority w:val="70"/>
    <w:pPr>
      <w:spacing w:line="240" w:lineRule="auto"/>
    </w:pPr>
    <w:rPr>
      <w:rFonts w:ascii="GWZT-EN"/>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139">
    <w:name w:val="Dark List Accent 5"/>
    <w:basedOn w:val="19"/>
    <w:qFormat/>
    <w:uiPriority w:val="70"/>
    <w:pPr>
      <w:spacing w:line="240" w:lineRule="auto"/>
    </w:pPr>
    <w:rPr>
      <w:rFonts w:ascii="GWZT-EN"/>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140">
    <w:name w:val="Dark List Accent 6"/>
    <w:basedOn w:val="19"/>
    <w:qFormat/>
    <w:uiPriority w:val="70"/>
    <w:pPr>
      <w:spacing w:line="240" w:lineRule="auto"/>
    </w:pPr>
    <w:rPr>
      <w:rFonts w:ascii="GWZT-EN"/>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41">
    <w:name w:val="Colorful Shading"/>
    <w:basedOn w:val="19"/>
    <w:qFormat/>
    <w:uiPriority w:val="71"/>
    <w:pPr>
      <w:spacing w:line="240" w:lineRule="auto"/>
    </w:pPr>
    <w:rPr>
      <w:rFonts w:ascii="GWZT-EN"/>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42">
    <w:name w:val="Colorful Shading Accent 1"/>
    <w:basedOn w:val="19"/>
    <w:qFormat/>
    <w:uiPriority w:val="71"/>
    <w:pPr>
      <w:spacing w:line="240" w:lineRule="auto"/>
    </w:pPr>
    <w:rPr>
      <w:rFonts w:ascii="GWZT-EN"/>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143">
    <w:name w:val="Colorful Shading Accent 2"/>
    <w:basedOn w:val="19"/>
    <w:qFormat/>
    <w:uiPriority w:val="71"/>
    <w:pPr>
      <w:spacing w:line="240" w:lineRule="auto"/>
    </w:pPr>
    <w:rPr>
      <w:rFonts w:ascii="GWZT-EN"/>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44">
    <w:name w:val="Colorful Shading Accent 3"/>
    <w:basedOn w:val="19"/>
    <w:qFormat/>
    <w:uiPriority w:val="71"/>
    <w:pPr>
      <w:spacing w:line="240" w:lineRule="auto"/>
    </w:pPr>
    <w:rPr>
      <w:rFonts w:ascii="GWZT-EN"/>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45">
    <w:name w:val="Colorful Shading Accent 4"/>
    <w:basedOn w:val="19"/>
    <w:qFormat/>
    <w:uiPriority w:val="71"/>
    <w:pPr>
      <w:spacing w:line="240" w:lineRule="auto"/>
    </w:pPr>
    <w:rPr>
      <w:rFonts w:ascii="GWZT-EN"/>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46">
    <w:name w:val="Colorful Shading Accent 5"/>
    <w:basedOn w:val="19"/>
    <w:qFormat/>
    <w:uiPriority w:val="71"/>
    <w:pPr>
      <w:spacing w:line="240" w:lineRule="auto"/>
    </w:pPr>
    <w:rPr>
      <w:rFonts w:ascii="GWZT-EN"/>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47">
    <w:name w:val="Colorful Shading Accent 6"/>
    <w:basedOn w:val="19"/>
    <w:qFormat/>
    <w:uiPriority w:val="71"/>
    <w:pPr>
      <w:spacing w:line="240" w:lineRule="auto"/>
    </w:pPr>
    <w:rPr>
      <w:rFonts w:ascii="GWZT-EN"/>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48">
    <w:name w:val="Colorful List"/>
    <w:basedOn w:val="19"/>
    <w:qFormat/>
    <w:uiPriority w:val="72"/>
    <w:pPr>
      <w:spacing w:line="240" w:lineRule="auto"/>
    </w:pPr>
    <w:rPr>
      <w:rFonts w:ascii="GWZT-EN"/>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49">
    <w:name w:val="Colorful List Accent 1"/>
    <w:basedOn w:val="19"/>
    <w:qFormat/>
    <w:uiPriority w:val="72"/>
    <w:pPr>
      <w:spacing w:line="240" w:lineRule="auto"/>
    </w:pPr>
    <w:rPr>
      <w:rFonts w:ascii="GWZT-EN"/>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150">
    <w:name w:val="Colorful List Accent 2"/>
    <w:basedOn w:val="19"/>
    <w:qFormat/>
    <w:uiPriority w:val="72"/>
    <w:pPr>
      <w:spacing w:line="240" w:lineRule="auto"/>
    </w:pPr>
    <w:rPr>
      <w:rFonts w:ascii="GWZT-EN"/>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151">
    <w:name w:val="Colorful List Accent 3"/>
    <w:basedOn w:val="19"/>
    <w:qFormat/>
    <w:uiPriority w:val="72"/>
    <w:pPr>
      <w:spacing w:line="240" w:lineRule="auto"/>
    </w:pPr>
    <w:rPr>
      <w:rFonts w:ascii="GWZT-EN"/>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152">
    <w:name w:val="Colorful List Accent 4"/>
    <w:basedOn w:val="19"/>
    <w:qFormat/>
    <w:uiPriority w:val="72"/>
    <w:pPr>
      <w:spacing w:line="240" w:lineRule="auto"/>
    </w:pPr>
    <w:rPr>
      <w:rFonts w:ascii="GWZT-EN"/>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153">
    <w:name w:val="Colorful List Accent 5"/>
    <w:basedOn w:val="19"/>
    <w:qFormat/>
    <w:uiPriority w:val="72"/>
    <w:pPr>
      <w:spacing w:line="240" w:lineRule="auto"/>
    </w:pPr>
    <w:rPr>
      <w:rFonts w:ascii="GWZT-EN"/>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154">
    <w:name w:val="Colorful List Accent 6"/>
    <w:basedOn w:val="19"/>
    <w:qFormat/>
    <w:uiPriority w:val="72"/>
    <w:pPr>
      <w:spacing w:line="240" w:lineRule="auto"/>
    </w:pPr>
    <w:rPr>
      <w:rFonts w:ascii="GWZT-EN"/>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155">
    <w:name w:val="Colorful Grid"/>
    <w:basedOn w:val="19"/>
    <w:qFormat/>
    <w:uiPriority w:val="73"/>
    <w:pPr>
      <w:spacing w:line="240" w:lineRule="auto"/>
    </w:pPr>
    <w:rPr>
      <w:rFonts w:ascii="GWZT-EN"/>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56">
    <w:name w:val="Colorful Grid Accent 1"/>
    <w:basedOn w:val="19"/>
    <w:qFormat/>
    <w:uiPriority w:val="73"/>
    <w:pPr>
      <w:spacing w:line="240" w:lineRule="auto"/>
    </w:pPr>
    <w:rPr>
      <w:rFonts w:ascii="GWZT-EN"/>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157">
    <w:name w:val="Colorful Grid Accent 2"/>
    <w:basedOn w:val="19"/>
    <w:qFormat/>
    <w:uiPriority w:val="73"/>
    <w:pPr>
      <w:spacing w:line="240" w:lineRule="auto"/>
    </w:pPr>
    <w:rPr>
      <w:rFonts w:ascii="GWZT-EN"/>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158">
    <w:name w:val="Colorful Grid Accent 3"/>
    <w:basedOn w:val="19"/>
    <w:qFormat/>
    <w:uiPriority w:val="73"/>
    <w:pPr>
      <w:spacing w:line="240" w:lineRule="auto"/>
    </w:pPr>
    <w:rPr>
      <w:rFonts w:ascii="GWZT-EN"/>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59">
    <w:name w:val="Colorful Grid Accent 4"/>
    <w:basedOn w:val="19"/>
    <w:qFormat/>
    <w:uiPriority w:val="73"/>
    <w:pPr>
      <w:spacing w:line="240" w:lineRule="auto"/>
    </w:pPr>
    <w:rPr>
      <w:rFonts w:ascii="GWZT-EN"/>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160">
    <w:name w:val="Colorful Grid Accent 5"/>
    <w:basedOn w:val="19"/>
    <w:qFormat/>
    <w:uiPriority w:val="73"/>
    <w:pPr>
      <w:spacing w:line="240" w:lineRule="auto"/>
    </w:pPr>
    <w:rPr>
      <w:rFonts w:ascii="GWZT-EN"/>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161">
    <w:name w:val="Colorful Grid Accent 6"/>
    <w:basedOn w:val="19"/>
    <w:qFormat/>
    <w:uiPriority w:val="73"/>
    <w:pPr>
      <w:spacing w:line="240" w:lineRule="auto"/>
    </w:pPr>
    <w:rPr>
      <w:rFonts w:ascii="GWZT-EN"/>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163">
    <w:name w:val="Strong"/>
    <w:basedOn w:val="162"/>
    <w:qFormat/>
    <w:uiPriority w:val="0"/>
    <w:rPr>
      <w:rFonts w:ascii="GWZT-EN"/>
      <w:b/>
    </w:rPr>
  </w:style>
  <w:style w:type="character" w:styleId="164">
    <w:name w:val="endnote reference"/>
    <w:basedOn w:val="162"/>
    <w:qFormat/>
    <w:uiPriority w:val="0"/>
    <w:rPr>
      <w:rFonts w:ascii="GWZT-EN"/>
      <w:vertAlign w:val="superscript"/>
    </w:rPr>
  </w:style>
  <w:style w:type="character" w:styleId="165">
    <w:name w:val="page number"/>
    <w:basedOn w:val="162"/>
    <w:qFormat/>
    <w:uiPriority w:val="0"/>
    <w:rPr>
      <w:rFonts w:ascii="GWZT-EN"/>
    </w:rPr>
  </w:style>
  <w:style w:type="character" w:styleId="166">
    <w:name w:val="FollowedHyperlink"/>
    <w:basedOn w:val="162"/>
    <w:qFormat/>
    <w:uiPriority w:val="0"/>
    <w:rPr>
      <w:rFonts w:ascii="GWZT-EN"/>
      <w:color w:val="800080"/>
      <w:u w:val="single"/>
    </w:rPr>
  </w:style>
  <w:style w:type="character" w:styleId="167">
    <w:name w:val="Emphasis"/>
    <w:basedOn w:val="162"/>
    <w:qFormat/>
    <w:uiPriority w:val="0"/>
    <w:rPr>
      <w:rFonts w:ascii="GWZT-EN"/>
      <w:i/>
    </w:rPr>
  </w:style>
  <w:style w:type="character" w:styleId="168">
    <w:name w:val="line number"/>
    <w:basedOn w:val="162"/>
    <w:qFormat/>
    <w:uiPriority w:val="0"/>
    <w:rPr>
      <w:rFonts w:ascii="GWZT-EN"/>
    </w:rPr>
  </w:style>
  <w:style w:type="character" w:styleId="169">
    <w:name w:val="HTML Definition"/>
    <w:basedOn w:val="162"/>
    <w:qFormat/>
    <w:uiPriority w:val="0"/>
    <w:rPr>
      <w:rFonts w:ascii="GWZT-EN"/>
      <w:i/>
    </w:rPr>
  </w:style>
  <w:style w:type="character" w:styleId="170">
    <w:name w:val="HTML Typewriter"/>
    <w:basedOn w:val="162"/>
    <w:qFormat/>
    <w:uiPriority w:val="0"/>
    <w:rPr>
      <w:rFonts w:ascii="GWZT-EN" w:hAnsi="Courier New"/>
      <w:sz w:val="20"/>
    </w:rPr>
  </w:style>
  <w:style w:type="character" w:styleId="171">
    <w:name w:val="HTML Acronym"/>
    <w:basedOn w:val="162"/>
    <w:qFormat/>
    <w:uiPriority w:val="0"/>
    <w:rPr>
      <w:rFonts w:ascii="GWZT-EN"/>
    </w:rPr>
  </w:style>
  <w:style w:type="character" w:styleId="172">
    <w:name w:val="HTML Variable"/>
    <w:basedOn w:val="162"/>
    <w:qFormat/>
    <w:uiPriority w:val="0"/>
    <w:rPr>
      <w:rFonts w:ascii="GWZT-EN"/>
      <w:i/>
    </w:rPr>
  </w:style>
  <w:style w:type="character" w:styleId="173">
    <w:name w:val="Hyperlink"/>
    <w:basedOn w:val="162"/>
    <w:qFormat/>
    <w:uiPriority w:val="0"/>
    <w:rPr>
      <w:rFonts w:ascii="GWZT-EN"/>
      <w:color w:val="0000FF"/>
      <w:u w:val="single"/>
    </w:rPr>
  </w:style>
  <w:style w:type="character" w:styleId="174">
    <w:name w:val="HTML Code"/>
    <w:basedOn w:val="162"/>
    <w:qFormat/>
    <w:uiPriority w:val="0"/>
    <w:rPr>
      <w:rFonts w:ascii="GWZT-EN" w:hAnsi="Courier New"/>
      <w:sz w:val="20"/>
    </w:rPr>
  </w:style>
  <w:style w:type="character" w:styleId="175">
    <w:name w:val="annotation reference"/>
    <w:basedOn w:val="162"/>
    <w:qFormat/>
    <w:uiPriority w:val="0"/>
    <w:rPr>
      <w:rFonts w:ascii="GWZT-EN"/>
      <w:sz w:val="21"/>
    </w:rPr>
  </w:style>
  <w:style w:type="character" w:styleId="176">
    <w:name w:val="HTML Cite"/>
    <w:basedOn w:val="162"/>
    <w:qFormat/>
    <w:uiPriority w:val="0"/>
    <w:rPr>
      <w:rFonts w:ascii="GWZT-EN"/>
      <w:i/>
    </w:rPr>
  </w:style>
  <w:style w:type="character" w:styleId="177">
    <w:name w:val="footnote reference"/>
    <w:basedOn w:val="162"/>
    <w:qFormat/>
    <w:uiPriority w:val="0"/>
    <w:rPr>
      <w:rFonts w:ascii="GWZT-EN"/>
      <w:vertAlign w:val="superscript"/>
    </w:rPr>
  </w:style>
  <w:style w:type="character" w:styleId="178">
    <w:name w:val="HTML Keyboard"/>
    <w:basedOn w:val="162"/>
    <w:qFormat/>
    <w:uiPriority w:val="0"/>
    <w:rPr>
      <w:rFonts w:ascii="GWZT-EN" w:hAnsi="Courier New"/>
      <w:sz w:val="20"/>
    </w:rPr>
  </w:style>
  <w:style w:type="character" w:styleId="179">
    <w:name w:val="HTML Sample"/>
    <w:basedOn w:val="162"/>
    <w:qFormat/>
    <w:uiPriority w:val="0"/>
    <w:rPr>
      <w:rFonts w:ascii="GWZT-EN" w:hAnsi="Courier New"/>
    </w:rPr>
  </w:style>
  <w:style w:type="paragraph" w:customStyle="1" w:styleId="180">
    <w:name w:val="正文标题"/>
    <w:basedOn w:val="18"/>
    <w:next w:val="1"/>
    <w:qFormat/>
    <w:uiPriority w:val="0"/>
    <w:pPr>
      <w:spacing w:line="578" w:lineRule="exact"/>
      <w:ind w:firstLine="0" w:firstLineChars="0"/>
      <w:outlineLvl w:val="9"/>
    </w:pPr>
    <w:rPr>
      <w:rFonts w:hint="eastAsia" w:ascii="GWZT-EN" w:hAnsi="Times New Roman" w:eastAsia="方正小标宋_GBK" w:cs="Times New Roman"/>
      <w:b w:val="0"/>
      <w:kern w:val="44"/>
      <w:sz w:val="44"/>
      <w:szCs w:val="44"/>
    </w:rPr>
  </w:style>
  <w:style w:type="paragraph" w:customStyle="1" w:styleId="181">
    <w:name w:val="样式1"/>
    <w:basedOn w:val="1"/>
    <w:qFormat/>
    <w:uiPriority w:val="0"/>
    <w:pPr>
      <w:spacing w:line="578" w:lineRule="exact"/>
      <w:ind w:firstLine="646" w:firstLineChars="200"/>
    </w:pPr>
    <w:rPr>
      <w:rFonts w:hint="eastAsia" w:ascii="GWZT-EN" w:hAnsi="Times New Roman" w:eastAsia="仿宋"/>
    </w:rPr>
  </w:style>
  <w:style w:type="paragraph" w:customStyle="1" w:styleId="182">
    <w:name w:val="Default"/>
    <w:qFormat/>
    <w:uiPriority w:val="0"/>
    <w:pPr>
      <w:widowControl w:val="0"/>
      <w:autoSpaceDE w:val="0"/>
      <w:autoSpaceDN w:val="0"/>
    </w:pPr>
    <w:rPr>
      <w:rFonts w:hint="eastAsia" w:ascii="GWZT-EN" w:hAnsi="微软雅黑" w:eastAsia="微软雅黑" w:cs="Times New Roman"/>
      <w:color w:val="000000"/>
      <w:sz w:val="24"/>
    </w:rPr>
  </w:style>
  <w:style w:type="character" w:customStyle="1" w:styleId="183">
    <w:name w:val="标题 2 Char"/>
    <w:link w:val="4"/>
    <w:qFormat/>
    <w:uiPriority w:val="0"/>
    <w:rPr>
      <w:rFonts w:ascii="Times New Roman" w:hAnsi="Times New Roman" w:eastAsia="黑体" w:cs="黑体"/>
      <w:kern w:val="2"/>
      <w:sz w:val="32"/>
      <w:szCs w:val="32"/>
    </w:rPr>
  </w:style>
  <w:style w:type="character" w:customStyle="1" w:styleId="184">
    <w:name w:val="标题 3 Char"/>
    <w:link w:val="5"/>
    <w:qFormat/>
    <w:uiPriority w:val="0"/>
    <w:rPr>
      <w:rFonts w:ascii="Times New Roman" w:hAnsi="Times New Roman" w:eastAsia="楷体_GB2312" w:cs="楷体"/>
      <w:kern w:val="2"/>
      <w:sz w:val="32"/>
      <w:szCs w:val="32"/>
    </w:rPr>
  </w:style>
  <w:style w:type="character" w:customStyle="1" w:styleId="185">
    <w:name w:val="标题 1 Char"/>
    <w:link w:val="3"/>
    <w:qFormat/>
    <w:uiPriority w:val="0"/>
    <w:rPr>
      <w:rFonts w:ascii="Times New Roman" w:hAnsi="Times New Roman" w:eastAsia="方正小标宋_GBK" w:cs="方正小标宋_GBK"/>
      <w:kern w:val="2"/>
      <w:sz w:val="44"/>
      <w:szCs w:val="32"/>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6</TotalTime>
  <ScaleCrop>false</ScaleCrop>
  <LinksUpToDate>false</LinksUpToDate>
  <CharactersWithSpaces>0</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2022-08-04T16:13:00Z</dcterms:created>
  <dc:creator>Administrator</dc:creator>
  <cp:lastModifiedBy>user</cp:lastModifiedBy>
  <cp:lastPrinted>2025-04-02T16:29:00Z</cp:lastPrinted>
  <dcterms:modified xsi:type="dcterms:W3CDTF">2026-01-29T16:32:33Z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3AD2A32187CC4A9AAB420253FAB3A778_13</vt:lpwstr>
  </property>
  <property fmtid="{D5CDD505-2E9C-101B-9397-08002B2CF9AE}" pid="4" name="KSOTemplateDocerSaveRecord">
    <vt:lpwstr>eyJoZGlkIjoiMDA2NTc5M2FiZWY0ODFjNzViNjNmOTRmOWJmNjQzZDYiLCJ1c2VySWQiOiI0MjI2MTQxODEifQ==</vt:lpwstr>
  </property>
</Properties>
</file>