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69E74" w14:textId="77777777" w:rsidR="00BE68E1" w:rsidRDefault="007E5883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新野县农业农村局</w:t>
      </w:r>
    </w:p>
    <w:p w14:paraId="349F6170" w14:textId="77777777" w:rsidR="00BE68E1" w:rsidRDefault="007E5883">
      <w:pPr>
        <w:jc w:val="center"/>
        <w:rPr>
          <w:rFonts w:ascii="黑体" w:eastAsia="黑体" w:hAnsi="黑体" w:cs="黑体"/>
          <w:sz w:val="44"/>
          <w:szCs w:val="44"/>
        </w:rPr>
      </w:pPr>
      <w:bookmarkStart w:id="0" w:name="OLE_LINK1"/>
      <w:bookmarkStart w:id="1" w:name="OLE_LINK2"/>
      <w:r>
        <w:rPr>
          <w:rFonts w:ascii="黑体" w:eastAsia="黑体" w:hAnsi="黑体" w:cs="黑体" w:hint="eastAsia"/>
          <w:sz w:val="44"/>
          <w:szCs w:val="44"/>
        </w:rPr>
        <w:t>关于《新野县农田机井管护实施细则》的</w:t>
      </w:r>
    </w:p>
    <w:p w14:paraId="197BA419" w14:textId="77777777" w:rsidR="00BE68E1" w:rsidRDefault="007E5883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起草说明</w:t>
      </w:r>
      <w:bookmarkEnd w:id="0"/>
      <w:bookmarkEnd w:id="1"/>
    </w:p>
    <w:p w14:paraId="722A6DD2" w14:textId="77777777" w:rsidR="00BE68E1" w:rsidRDefault="00BE68E1">
      <w:pPr>
        <w:jc w:val="center"/>
        <w:rPr>
          <w:rFonts w:ascii="黑体" w:eastAsia="黑体" w:hAnsi="黑体" w:cs="黑体"/>
          <w:sz w:val="44"/>
          <w:szCs w:val="44"/>
        </w:rPr>
      </w:pPr>
    </w:p>
    <w:p w14:paraId="7B58C8BD" w14:textId="77777777" w:rsidR="00BE68E1" w:rsidRDefault="007E5883">
      <w:pPr>
        <w:pStyle w:val="a3"/>
        <w:spacing w:line="560" w:lineRule="exact"/>
        <w:ind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一、背景和必要性</w:t>
      </w:r>
    </w:p>
    <w:p w14:paraId="4867E00C" w14:textId="77777777" w:rsidR="00BE68E1" w:rsidRDefault="007E5883">
      <w:pPr>
        <w:pStyle w:val="a3"/>
        <w:spacing w:line="560" w:lineRule="exact"/>
        <w:ind w:firstLine="640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农田机井是保障农业生产、防灾减灾、粮食安全的关键基础设施。当前我县农田机井存在管护主体不清、责任落实不到位、经费保障不足、运维机制不健全、设施损毁维修不及时等突出问题，影响灌溉效益正常发挥。</w:t>
      </w:r>
    </w:p>
    <w:p w14:paraId="14CC9B0E" w14:textId="77777777" w:rsidR="00BE68E1" w:rsidRDefault="007E5883">
      <w:pPr>
        <w:pStyle w:val="a3"/>
        <w:spacing w:line="560" w:lineRule="exact"/>
        <w:ind w:firstLine="640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为深入贯彻落实国家、省、市关于加强农田水利设施管护工作的决策部署，切实解决机井管护短板弱项，建立政府引导、部门协同、乡镇监管、村为主体、群众参与、市场补充的长效管护机制，实现农田机井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 “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有水、有电、有配套、有管护、有经费、有监督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” 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的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 “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六有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” 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目标，保障设施长期管用、群众长期受益，为我县建设农业强县筑牢水利根基，亟需制定本《实施细则》。</w:t>
      </w:r>
    </w:p>
    <w:p w14:paraId="63224CD6" w14:textId="77777777" w:rsidR="00BE68E1" w:rsidRDefault="007E5883">
      <w:pPr>
        <w:pStyle w:val="a3"/>
        <w:spacing w:line="560" w:lineRule="exact"/>
        <w:ind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二、制定的主要依据</w:t>
      </w:r>
    </w:p>
    <w:p w14:paraId="4143C20D" w14:textId="77777777" w:rsidR="00BE68E1" w:rsidRDefault="007E5883">
      <w:pPr>
        <w:pStyle w:val="a3"/>
        <w:spacing w:line="560" w:lineRule="exact"/>
        <w:ind w:firstLine="640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《河南省人民政府办公厅关于加强农田水利设施管护工作的指导意见》（豫政办〔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2021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〕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42 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号）</w:t>
      </w:r>
    </w:p>
    <w:p w14:paraId="2EBAAF72" w14:textId="77777777" w:rsidR="00BE68E1" w:rsidRDefault="007E5883">
      <w:pPr>
        <w:pStyle w:val="a3"/>
        <w:spacing w:line="560" w:lineRule="exact"/>
        <w:ind w:firstLine="640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《河南省农业农村厅关于进一步加强农田水利设施管护工作的通知》（豫农文〔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2025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〕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139 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号）</w:t>
      </w:r>
    </w:p>
    <w:p w14:paraId="4D0BD80D" w14:textId="77777777" w:rsidR="00BE68E1" w:rsidRDefault="007E5883">
      <w:pPr>
        <w:pStyle w:val="a3"/>
        <w:spacing w:line="560" w:lineRule="exact"/>
        <w:ind w:firstLine="640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3.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《河南省农业农村厅关于进一步规范机井工程建设管理的通知》（豫农文〔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2025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〕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326 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号）</w:t>
      </w:r>
    </w:p>
    <w:p w14:paraId="3BEAF3CA" w14:textId="77777777" w:rsidR="00BE68E1" w:rsidRDefault="007E5883">
      <w:pPr>
        <w:pStyle w:val="a3"/>
        <w:spacing w:line="560" w:lineRule="exact"/>
        <w:ind w:firstLine="640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4.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《河南省财政厅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河南省农业农村厅关于明确高标准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lastRenderedPageBreak/>
        <w:t>农田建设项目资金管理若干问题的通知》（豫财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农水〔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2025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〕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46 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号）</w:t>
      </w:r>
    </w:p>
    <w:p w14:paraId="280C5D23" w14:textId="77777777" w:rsidR="00BE68E1" w:rsidRDefault="007E5883">
      <w:pPr>
        <w:pStyle w:val="a3"/>
        <w:spacing w:line="560" w:lineRule="exact"/>
        <w:ind w:firstLine="640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5.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《南阳市人民政府办公室关于进一步加强农田机井管护工作的通知》（宛政办明电〔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2025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〕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28 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号）</w:t>
      </w:r>
    </w:p>
    <w:p w14:paraId="78CFDE6E" w14:textId="77777777" w:rsidR="00BE68E1" w:rsidRDefault="007E5883">
      <w:pPr>
        <w:pStyle w:val="a3"/>
        <w:spacing w:line="560" w:lineRule="exact"/>
        <w:ind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三、起草过程</w:t>
      </w:r>
    </w:p>
    <w:p w14:paraId="59F070C1" w14:textId="77777777" w:rsidR="00BE68E1" w:rsidRDefault="007E5883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起草期间，先后征求县财政局、发改委、供电公司及各乡镇（街道）意见，组织乡镇农办、村集体经济组织、新型农业经营主体代表座谈研讨，广泛吸纳基层实践经验与合理建议，对文稿多轮修改完善，确保内容合法合规、贴合实际、便于执行。</w:t>
      </w:r>
    </w:p>
    <w:p w14:paraId="332BC887" w14:textId="77777777" w:rsidR="00BE68E1" w:rsidRDefault="007E5883">
      <w:pPr>
        <w:pStyle w:val="a3"/>
        <w:spacing w:line="560" w:lineRule="exact"/>
        <w:ind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四、制定的主要内容</w:t>
      </w:r>
    </w:p>
    <w:p w14:paraId="4955C4A7" w14:textId="77777777" w:rsidR="00BE68E1" w:rsidRDefault="007E5883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《实施细则》共十章四十二条，全面覆盖总则、管护范围与产权归属、管护标准、管护责任体系、源头管控与建设规范、日常管护与操作规范、经费保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障与使用管理、监督考核与投诉响应、宣传培训、附则等关键环节，主要内容说明如下：</w:t>
      </w:r>
    </w:p>
    <w:p w14:paraId="05C591A3" w14:textId="77777777" w:rsidR="00BE68E1" w:rsidRDefault="007E5883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（一）明确适用范围与总体目标。适用于我县行政区域内政府投资建设的农田灌溉机井（含提灌站）及其配套设施管护，其他投资主体机井参照执行。坚持建管并重、属地负责、市场运作、群众参与原则，构建权责清晰、保障有力、监管到位的管护体系，确保机井长期稳定运行。</w:t>
      </w:r>
    </w:p>
    <w:p w14:paraId="4FAC19C9" w14:textId="77777777" w:rsidR="00BE68E1" w:rsidRDefault="007E5883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（二）厘清管护范围与产权归属。明确机井井体、机房、水泵、管道、电力及计量配套设施等全部管护范围；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lastRenderedPageBreak/>
        <w:t>界定政府投资机井归村集体所有、纳入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 “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三资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” 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管理，其他投资主体机井按经营期确定产权，县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农业农村局统一监管。</w:t>
      </w:r>
    </w:p>
    <w:p w14:paraId="2CF78761" w14:textId="77777777" w:rsidR="00BE68E1" w:rsidRDefault="007E5883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（三）设定统一管护标准。对机电井、裸井、配电设施、提灌站等分类明确运行标准，要求设施完好、运行正常、安全规范、环境整洁，实现管护有标可依、有章可循。</w:t>
      </w:r>
    </w:p>
    <w:p w14:paraId="4CEA9A73" w14:textId="77777777" w:rsidR="00BE68E1" w:rsidRDefault="007E5883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（四）构建四级管护责任体系。落实县级负总责、乡镇监管、村集体或新型经营主体为实施主体的责任链条，全面推行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 “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一长两员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”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（井长、管护员、维修员）制度，明确井长为第一责任人，管护员、维修员持证上岗，压实各层级、各岗位管护职责。</w:t>
      </w:r>
    </w:p>
    <w:p w14:paraId="09807868" w14:textId="77777777" w:rsidR="00BE68E1" w:rsidRDefault="007E5883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（五）强化源头管控与建设规范。坚持先建管护机制、后建项目工程，规范设计、施工、验收、移交全流程，实行质量终身责任制与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 “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一井一档、一井一码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” 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数字化管理，严控废弃机井封填，从源头降低后期管护压力。</w:t>
      </w:r>
    </w:p>
    <w:p w14:paraId="2A944A2B" w14:textId="77777777" w:rsidR="00BE68E1" w:rsidRDefault="007E5883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（六）规范日常管护与应急保障。建立县、乡、村三级常态化巡查制度，开展春季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 “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排查周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”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、冬季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 “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管护月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” 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集中整治；健全应急队伍、预案、演练、储备体系，关键农时节点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 24 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小时应急保障，确保不误农时。</w:t>
      </w:r>
    </w:p>
    <w:p w14:paraId="1CD09FEF" w14:textId="77777777" w:rsidR="00BE68E1" w:rsidRDefault="007E5883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lastRenderedPageBreak/>
        <w:t>（七）健全经费保障与使用管理。明确县乡财政、项目提取、电费附加、保险资金等多渠道筹资机制，规范资金使用范围、比例与公示制度，实行收支两条线、专款专用、村集体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 “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三资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” 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账户管理，保障管护资金安全高效。</w:t>
      </w:r>
    </w:p>
    <w:p w14:paraId="70FCAF1F" w14:textId="77777777" w:rsidR="00BE68E1" w:rsidRDefault="007E5883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（八）完善监督考核与投诉响应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。开通省、市、县、乡四级管护监督电话，建立受理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 — 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转办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 — 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处置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 — 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反馈闭环机制，实行举报奖励、年度评价、考核挂钩、一票否决等制度，强化社会监督与刚性约束，严厉打击破坏损毁设施行为。</w:t>
      </w:r>
    </w:p>
    <w:p w14:paraId="7E8F4496" w14:textId="66AE9836" w:rsidR="00BE68E1" w:rsidRPr="0023331E" w:rsidRDefault="007E5883" w:rsidP="0023331E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（九）加强宣传培训与长效保障。常态化开展政策、安全、操作宣传，定期组织技术培训，提升管护队伍专业能力与群众护井意识，推动形成用井、爱井、护井的良好氛围。</w:t>
      </w:r>
      <w:bookmarkStart w:id="2" w:name="_GoBack"/>
      <w:bookmarkEnd w:id="2"/>
    </w:p>
    <w:sectPr w:rsidR="00BE68E1" w:rsidRPr="00233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F72FE" w14:textId="77777777" w:rsidR="007E5883" w:rsidRDefault="007E5883" w:rsidP="0023331E">
      <w:r>
        <w:separator/>
      </w:r>
    </w:p>
  </w:endnote>
  <w:endnote w:type="continuationSeparator" w:id="0">
    <w:p w14:paraId="58B7D279" w14:textId="77777777" w:rsidR="007E5883" w:rsidRDefault="007E5883" w:rsidP="00233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F67B0" w14:textId="77777777" w:rsidR="007E5883" w:rsidRDefault="007E5883" w:rsidP="0023331E">
      <w:r>
        <w:separator/>
      </w:r>
    </w:p>
  </w:footnote>
  <w:footnote w:type="continuationSeparator" w:id="0">
    <w:p w14:paraId="70A3F4A8" w14:textId="77777777" w:rsidR="007E5883" w:rsidRDefault="007E5883" w:rsidP="00233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8E1"/>
    <w:rsid w:val="0023331E"/>
    <w:rsid w:val="007E5883"/>
    <w:rsid w:val="00BE68E1"/>
    <w:rsid w:val="313C38F7"/>
    <w:rsid w:val="4E4C0007"/>
    <w:rsid w:val="67FA7D96"/>
    <w:rsid w:val="7F79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F36E16"/>
  <w15:docId w15:val="{CE831878-A80E-4EEA-A95B-E7A4945F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rsid w:val="002333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3331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2333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3331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52527</dc:creator>
  <cp:lastModifiedBy>PC</cp:lastModifiedBy>
  <cp:revision>2</cp:revision>
  <dcterms:created xsi:type="dcterms:W3CDTF">2026-05-11T09:26:00Z</dcterms:created>
  <dcterms:modified xsi:type="dcterms:W3CDTF">2026-05-11T09:26:00Z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eyJoZGlkIjoiZDk5ZjFmZmFjNjljZWEwNmIwM2E4ZDY2NzdiMmM3MzkiLCJ1c2VySWQiOiI0MzIxNTM4NzAifQ==</vt:lpwstr>
  </property>
  <property fmtid="{D5CDD505-2E9C-101B-9397-08002B2CF9AE}" pid="4" name="ICV">
    <vt:lpwstr>DD573CE7259948A38A6C5FAF15A307C8_12</vt:lpwstr>
  </property>
</Properties>
</file>