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A1CF8">
      <w:pPr>
        <w:keepNext w:val="0"/>
        <w:keepLines w:val="0"/>
        <w:pageBreakBefore w:val="0"/>
        <w:kinsoku/>
        <w:wordWrap/>
        <w:overflowPunct/>
        <w:topLinePunct w:val="0"/>
        <w:autoSpaceDE/>
        <w:autoSpaceDN/>
        <w:bidi w:val="0"/>
        <w:adjustRightInd/>
        <w:snapToGrid/>
        <w:spacing w:beforeAutospacing="0" w:afterAutospacing="0"/>
        <w:jc w:val="left"/>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附件2</w:t>
      </w:r>
    </w:p>
    <w:p w14:paraId="518A5FC0">
      <w:pPr>
        <w:keepNext w:val="0"/>
        <w:keepLines w:val="0"/>
        <w:pageBreakBefore w:val="0"/>
        <w:kinsoku/>
        <w:wordWrap/>
        <w:overflowPunct/>
        <w:topLinePunct w:val="0"/>
        <w:autoSpaceDE/>
        <w:autoSpaceDN/>
        <w:bidi w:val="0"/>
        <w:adjustRightInd/>
        <w:snapToGrid/>
        <w:spacing w:beforeAutospacing="0" w:afterAutospacing="0"/>
      </w:pPr>
      <w:r>
        <w:rPr>
          <w:rFonts w:hint="eastAsia" w:ascii="方正小标宋简体" w:hAnsi="方正小标宋简体" w:eastAsia="方正小标宋简体" w:cs="方正小标宋简体"/>
          <w:i w:val="0"/>
          <w:iCs w:val="0"/>
          <w:color w:val="auto"/>
          <w:kern w:val="0"/>
          <w:sz w:val="40"/>
          <w:szCs w:val="40"/>
          <w:u w:val="none"/>
          <w:lang w:val="en-US" w:eastAsia="zh-CN" w:bidi="ar"/>
        </w:rPr>
        <w:t>新野县应急管理局202</w:t>
      </w:r>
      <w:r>
        <w:rPr>
          <w:rFonts w:hint="default" w:ascii="方正小标宋简体" w:hAnsi="方正小标宋简体" w:eastAsia="方正小标宋简体" w:cs="方正小标宋简体"/>
          <w:i w:val="0"/>
          <w:iCs w:val="0"/>
          <w:color w:val="auto"/>
          <w:kern w:val="0"/>
          <w:sz w:val="40"/>
          <w:szCs w:val="40"/>
          <w:u w:val="none"/>
          <w:lang w:val="en-US" w:eastAsia="zh-CN" w:bidi="ar"/>
        </w:rPr>
        <w:t>6</w:t>
      </w:r>
      <w:r>
        <w:rPr>
          <w:rFonts w:hint="eastAsia" w:ascii="方正小标宋简体" w:hAnsi="方正小标宋简体" w:eastAsia="方正小标宋简体" w:cs="方正小标宋简体"/>
          <w:i w:val="0"/>
          <w:iCs w:val="0"/>
          <w:color w:val="auto"/>
          <w:kern w:val="0"/>
          <w:sz w:val="40"/>
          <w:szCs w:val="40"/>
          <w:u w:val="none"/>
          <w:lang w:val="en-US" w:eastAsia="zh-CN" w:bidi="ar"/>
        </w:rPr>
        <w:t>年度“双随机、一公开”抽查工作计划（</w:t>
      </w:r>
      <w:r>
        <w:rPr>
          <w:rFonts w:hint="eastAsia" w:ascii="方正小标宋简体" w:hAnsi="方正小标宋简体" w:eastAsia="方正小标宋简体" w:cs="方正小标宋简体"/>
          <w:i w:val="0"/>
          <w:iCs w:val="0"/>
          <w:color w:val="auto"/>
          <w:kern w:val="0"/>
          <w:sz w:val="24"/>
          <w:szCs w:val="24"/>
          <w:u w:val="none"/>
          <w:lang w:val="en-US" w:eastAsia="zh-CN" w:bidi="ar"/>
        </w:rPr>
        <w:t>“一业一查”部门联合</w:t>
      </w:r>
      <w:r>
        <w:rPr>
          <w:rFonts w:hint="eastAsia" w:ascii="方正小标宋简体" w:hAnsi="方正小标宋简体" w:eastAsia="方正小标宋简体" w:cs="方正小标宋简体"/>
          <w:i w:val="0"/>
          <w:iCs w:val="0"/>
          <w:color w:val="auto"/>
          <w:kern w:val="0"/>
          <w:sz w:val="40"/>
          <w:szCs w:val="40"/>
          <w:u w:val="none"/>
          <w:lang w:val="en-US" w:eastAsia="zh-CN" w:bidi="ar"/>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314"/>
        <w:gridCol w:w="1035"/>
        <w:gridCol w:w="953"/>
        <w:gridCol w:w="855"/>
        <w:gridCol w:w="3945"/>
        <w:gridCol w:w="1170"/>
        <w:gridCol w:w="1260"/>
        <w:gridCol w:w="1245"/>
        <w:gridCol w:w="1425"/>
      </w:tblGrid>
      <w:tr w14:paraId="4B8C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3" w:type="dxa"/>
            <w:noWrap w:val="0"/>
            <w:vAlign w:val="center"/>
          </w:tcPr>
          <w:p w14:paraId="1D32ED30">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1314" w:type="dxa"/>
            <w:noWrap w:val="0"/>
            <w:vAlign w:val="center"/>
          </w:tcPr>
          <w:p w14:paraId="70A18857">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任务</w:t>
            </w:r>
          </w:p>
          <w:p w14:paraId="5ACCC157">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名称</w:t>
            </w:r>
          </w:p>
        </w:tc>
        <w:tc>
          <w:tcPr>
            <w:tcW w:w="1035" w:type="dxa"/>
            <w:noWrap w:val="0"/>
            <w:vAlign w:val="center"/>
          </w:tcPr>
          <w:p w14:paraId="5DA5F76C">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发起</w:t>
            </w:r>
          </w:p>
          <w:p w14:paraId="49575413">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部门</w:t>
            </w:r>
          </w:p>
        </w:tc>
        <w:tc>
          <w:tcPr>
            <w:tcW w:w="953" w:type="dxa"/>
            <w:noWrap w:val="0"/>
            <w:vAlign w:val="center"/>
          </w:tcPr>
          <w:p w14:paraId="5F1A2470">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联合</w:t>
            </w:r>
          </w:p>
          <w:p w14:paraId="654DD4C5">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部门</w:t>
            </w:r>
          </w:p>
        </w:tc>
        <w:tc>
          <w:tcPr>
            <w:tcW w:w="855" w:type="dxa"/>
            <w:noWrap w:val="0"/>
            <w:vAlign w:val="center"/>
          </w:tcPr>
          <w:p w14:paraId="12E3A1D7">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抽查</w:t>
            </w:r>
          </w:p>
          <w:p w14:paraId="6DF1F027">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类型</w:t>
            </w:r>
          </w:p>
        </w:tc>
        <w:tc>
          <w:tcPr>
            <w:tcW w:w="3945" w:type="dxa"/>
            <w:noWrap w:val="0"/>
            <w:vAlign w:val="center"/>
          </w:tcPr>
          <w:p w14:paraId="4D4B8EEF">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抽查事项</w:t>
            </w:r>
          </w:p>
        </w:tc>
        <w:tc>
          <w:tcPr>
            <w:tcW w:w="1170" w:type="dxa"/>
            <w:noWrap w:val="0"/>
            <w:vAlign w:val="center"/>
          </w:tcPr>
          <w:p w14:paraId="1EB27518">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抽查对象范围</w:t>
            </w:r>
          </w:p>
        </w:tc>
        <w:tc>
          <w:tcPr>
            <w:tcW w:w="1260" w:type="dxa"/>
            <w:noWrap w:val="0"/>
            <w:vAlign w:val="center"/>
          </w:tcPr>
          <w:p w14:paraId="6B9E1F16">
            <w:pPr>
              <w:keepNext w:val="0"/>
              <w:keepLines w:val="0"/>
              <w:pageBreakBefore w:val="0"/>
              <w:kinsoku/>
              <w:wordWrap/>
              <w:overflowPunct/>
              <w:topLinePunct w:val="0"/>
              <w:autoSpaceDE/>
              <w:autoSpaceDN/>
              <w:bidi w:val="0"/>
              <w:adjustRightInd/>
              <w:snapToGrid/>
              <w:spacing w:beforeAutospacing="0" w:afterAutospacing="0"/>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抽取企业数量</w:t>
            </w:r>
          </w:p>
        </w:tc>
        <w:tc>
          <w:tcPr>
            <w:tcW w:w="1245" w:type="dxa"/>
            <w:noWrap w:val="0"/>
            <w:vAlign w:val="center"/>
          </w:tcPr>
          <w:p w14:paraId="73A26B33">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检查时间</w:t>
            </w:r>
          </w:p>
        </w:tc>
        <w:tc>
          <w:tcPr>
            <w:tcW w:w="1425" w:type="dxa"/>
            <w:noWrap w:val="0"/>
            <w:vAlign w:val="center"/>
          </w:tcPr>
          <w:p w14:paraId="2D871F5E">
            <w:pPr>
              <w:keepNext w:val="0"/>
              <w:keepLines w:val="0"/>
              <w:pageBreakBefore w:val="0"/>
              <w:kinsoku/>
              <w:wordWrap/>
              <w:overflowPunct/>
              <w:topLinePunct w:val="0"/>
              <w:autoSpaceDE/>
              <w:autoSpaceDN/>
              <w:bidi w:val="0"/>
              <w:adjustRightInd/>
              <w:snapToGrid/>
              <w:spacing w:beforeAutospacing="0" w:afterAutospacing="0"/>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责任科室</w:t>
            </w:r>
          </w:p>
        </w:tc>
      </w:tr>
      <w:tr w14:paraId="678B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583" w:type="dxa"/>
            <w:noWrap w:val="0"/>
            <w:vAlign w:val="center"/>
          </w:tcPr>
          <w:p w14:paraId="14351D4E">
            <w:pPr>
              <w:keepNext w:val="0"/>
              <w:keepLines w:val="0"/>
              <w:pageBreakBefore w:val="0"/>
              <w:kinsoku/>
              <w:wordWrap/>
              <w:overflowPunct/>
              <w:topLinePunct w:val="0"/>
              <w:autoSpaceDE/>
              <w:autoSpaceDN/>
              <w:bidi w:val="0"/>
              <w:adjustRightInd/>
              <w:snapToGrid/>
              <w:spacing w:beforeAutospacing="0" w:afterAutospacing="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314" w:type="dxa"/>
            <w:noWrap w:val="0"/>
            <w:vAlign w:val="center"/>
          </w:tcPr>
          <w:p w14:paraId="4F606830">
            <w:pPr>
              <w:keepNext w:val="0"/>
              <w:keepLines w:val="0"/>
              <w:pageBreakBefore w:val="0"/>
              <w:kinsoku/>
              <w:wordWrap/>
              <w:overflowPunct/>
              <w:topLinePunct w:val="0"/>
              <w:autoSpaceDE/>
              <w:autoSpaceDN/>
              <w:bidi w:val="0"/>
              <w:adjustRightInd/>
              <w:snapToGrid/>
              <w:spacing w:beforeAutospacing="0" w:afterAutospacing="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工贸行业领域“双随机”联合抽查</w:t>
            </w:r>
          </w:p>
        </w:tc>
        <w:tc>
          <w:tcPr>
            <w:tcW w:w="1035" w:type="dxa"/>
            <w:noWrap w:val="0"/>
            <w:vAlign w:val="center"/>
          </w:tcPr>
          <w:p w14:paraId="70F520C7">
            <w:pPr>
              <w:keepNext w:val="0"/>
              <w:keepLines w:val="0"/>
              <w:pageBreakBefore w:val="0"/>
              <w:kinsoku/>
              <w:wordWrap/>
              <w:overflowPunct/>
              <w:topLinePunct w:val="0"/>
              <w:autoSpaceDE/>
              <w:autoSpaceDN/>
              <w:bidi w:val="0"/>
              <w:adjustRightInd/>
              <w:snapToGrid/>
              <w:spacing w:beforeAutospacing="0" w:afterAutospacing="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县应急管理局</w:t>
            </w:r>
          </w:p>
        </w:tc>
        <w:tc>
          <w:tcPr>
            <w:tcW w:w="953" w:type="dxa"/>
            <w:noWrap w:val="0"/>
            <w:vAlign w:val="center"/>
          </w:tcPr>
          <w:p w14:paraId="4E05595E">
            <w:pPr>
              <w:keepNext w:val="0"/>
              <w:keepLines w:val="0"/>
              <w:pageBreakBefore w:val="0"/>
              <w:kinsoku/>
              <w:wordWrap/>
              <w:overflowPunct/>
              <w:topLinePunct w:val="0"/>
              <w:autoSpaceDE/>
              <w:autoSpaceDN/>
              <w:bidi w:val="0"/>
              <w:adjustRightInd/>
              <w:snapToGrid/>
              <w:spacing w:beforeAutospacing="0" w:afterAutospacing="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县生态环境局</w:t>
            </w:r>
          </w:p>
        </w:tc>
        <w:tc>
          <w:tcPr>
            <w:tcW w:w="855" w:type="dxa"/>
            <w:noWrap w:val="0"/>
            <w:vAlign w:val="center"/>
          </w:tcPr>
          <w:p w14:paraId="1BB3EC14">
            <w:pPr>
              <w:keepNext w:val="0"/>
              <w:keepLines w:val="0"/>
              <w:pageBreakBefore w:val="0"/>
              <w:kinsoku/>
              <w:wordWrap/>
              <w:overflowPunct/>
              <w:topLinePunct w:val="0"/>
              <w:autoSpaceDE/>
              <w:autoSpaceDN/>
              <w:bidi w:val="0"/>
              <w:adjustRightInd/>
              <w:snapToGrid/>
              <w:spacing w:beforeAutospacing="0" w:afterAutospacing="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定向</w:t>
            </w:r>
          </w:p>
        </w:tc>
        <w:tc>
          <w:tcPr>
            <w:tcW w:w="3945" w:type="dxa"/>
            <w:noWrap w:val="0"/>
            <w:vAlign w:val="center"/>
          </w:tcPr>
          <w:p w14:paraId="7519DD76">
            <w:pPr>
              <w:keepNext w:val="0"/>
              <w:keepLines w:val="0"/>
              <w:pageBreakBefore w:val="0"/>
              <w:kinsoku/>
              <w:wordWrap/>
              <w:overflowPunct/>
              <w:topLinePunct w:val="0"/>
              <w:autoSpaceDE/>
              <w:autoSpaceDN/>
              <w:bidi w:val="0"/>
              <w:adjustRightInd/>
              <w:snapToGrid/>
              <w:spacing w:beforeAutospacing="0" w:afterAutospacing="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县</w:t>
            </w:r>
            <w:r>
              <w:rPr>
                <w:rFonts w:hint="default" w:ascii="仿宋_GB2312" w:hAnsi="仿宋_GB2312" w:eastAsia="仿宋_GB2312" w:cs="仿宋_GB2312"/>
                <w:b/>
                <w:bCs/>
                <w:color w:val="auto"/>
                <w:sz w:val="24"/>
                <w:szCs w:val="24"/>
                <w:vertAlign w:val="baseline"/>
                <w:lang w:val="en-US" w:eastAsia="zh-CN"/>
              </w:rPr>
              <w:t>应急管理局</w:t>
            </w:r>
            <w:r>
              <w:rPr>
                <w:rFonts w:hint="default" w:ascii="仿宋_GB2312" w:hAnsi="仿宋_GB2312" w:eastAsia="仿宋_GB2312" w:cs="仿宋_GB2312"/>
                <w:color w:val="auto"/>
                <w:sz w:val="24"/>
                <w:szCs w:val="24"/>
                <w:vertAlign w:val="baseline"/>
                <w:lang w:val="en-US" w:eastAsia="zh-CN"/>
              </w:rPr>
              <w:t>：</w:t>
            </w:r>
          </w:p>
          <w:p w14:paraId="584834A0">
            <w:pPr>
              <w:keepNext w:val="0"/>
              <w:keepLines w:val="0"/>
              <w:pageBreakBefore w:val="0"/>
              <w:kinsoku/>
              <w:wordWrap/>
              <w:overflowPunct/>
              <w:topLinePunct w:val="0"/>
              <w:autoSpaceDE/>
              <w:autoSpaceDN/>
              <w:bidi w:val="0"/>
              <w:adjustRightInd/>
              <w:snapToGrid/>
              <w:spacing w:beforeAutospacing="0" w:afterAutospacing="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1.相关企业全员安全生产责任制和安全生产规章制度建立健全和落实情况；</w:t>
            </w:r>
          </w:p>
          <w:p w14:paraId="2A1FE424">
            <w:pPr>
              <w:keepNext w:val="0"/>
              <w:keepLines w:val="0"/>
              <w:pageBreakBefore w:val="0"/>
              <w:kinsoku/>
              <w:wordWrap/>
              <w:overflowPunct/>
              <w:topLinePunct w:val="0"/>
              <w:autoSpaceDE/>
              <w:autoSpaceDN/>
              <w:bidi w:val="0"/>
              <w:adjustRightInd/>
              <w:snapToGrid/>
              <w:spacing w:beforeAutospacing="0" w:afterAutospacing="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2.安全风险分级管控和隐患排查治理双重预防机制建设应用情况；</w:t>
            </w:r>
          </w:p>
          <w:p w14:paraId="5AD0D38E">
            <w:pPr>
              <w:keepNext w:val="0"/>
              <w:keepLines w:val="0"/>
              <w:pageBreakBefore w:val="0"/>
              <w:kinsoku/>
              <w:wordWrap/>
              <w:overflowPunct/>
              <w:topLinePunct w:val="0"/>
              <w:autoSpaceDE/>
              <w:autoSpaceDN/>
              <w:bidi w:val="0"/>
              <w:adjustRightInd/>
              <w:snapToGrid/>
              <w:spacing w:beforeAutospacing="0" w:afterAutospacing="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3.重大事故隐患排查治理情况；</w:t>
            </w:r>
          </w:p>
          <w:p w14:paraId="4DB0AE4F">
            <w:pPr>
              <w:keepNext w:val="0"/>
              <w:keepLines w:val="0"/>
              <w:pageBreakBefore w:val="0"/>
              <w:kinsoku/>
              <w:wordWrap/>
              <w:overflowPunct/>
              <w:topLinePunct w:val="0"/>
              <w:autoSpaceDE/>
              <w:autoSpaceDN/>
              <w:bidi w:val="0"/>
              <w:adjustRightInd/>
              <w:snapToGrid/>
              <w:spacing w:beforeAutospacing="0" w:afterAutospacing="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县生态环境局</w:t>
            </w:r>
            <w:r>
              <w:rPr>
                <w:rFonts w:hint="default" w:ascii="仿宋_GB2312" w:hAnsi="仿宋_GB2312" w:eastAsia="仿宋_GB2312" w:cs="仿宋_GB2312"/>
                <w:color w:val="auto"/>
                <w:sz w:val="24"/>
                <w:szCs w:val="24"/>
                <w:vertAlign w:val="baseline"/>
                <w:lang w:val="en-US" w:eastAsia="zh-CN"/>
              </w:rPr>
              <w:t>：</w:t>
            </w:r>
          </w:p>
          <w:p w14:paraId="5DCF6070">
            <w:pPr>
              <w:keepNext w:val="0"/>
              <w:keepLines w:val="0"/>
              <w:pageBreakBefore w:val="0"/>
              <w:kinsoku/>
              <w:wordWrap/>
              <w:overflowPunct/>
              <w:topLinePunct w:val="0"/>
              <w:autoSpaceDE/>
              <w:autoSpaceDN/>
              <w:bidi w:val="0"/>
              <w:adjustRightInd/>
              <w:snapToGrid/>
              <w:spacing w:beforeAutospacing="0" w:afterAutospacing="0"/>
              <w:jc w:val="both"/>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对建设项目环境影响评价制度执行情况的监管。</w:t>
            </w:r>
          </w:p>
        </w:tc>
        <w:tc>
          <w:tcPr>
            <w:tcW w:w="1170" w:type="dxa"/>
            <w:noWrap w:val="0"/>
            <w:vAlign w:val="center"/>
          </w:tcPr>
          <w:p w14:paraId="432B6291">
            <w:pPr>
              <w:keepNext w:val="0"/>
              <w:keepLines w:val="0"/>
              <w:pageBreakBefore w:val="0"/>
              <w:kinsoku/>
              <w:wordWrap/>
              <w:overflowPunct/>
              <w:topLinePunct w:val="0"/>
              <w:autoSpaceDE/>
              <w:autoSpaceDN/>
              <w:bidi w:val="0"/>
              <w:adjustRightInd/>
              <w:snapToGrid/>
              <w:spacing w:beforeAutospacing="0" w:afterAutospacing="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i w:val="0"/>
                <w:iCs w:val="0"/>
                <w:color w:val="auto"/>
                <w:sz w:val="24"/>
                <w:szCs w:val="24"/>
                <w:u w:val="none"/>
                <w:lang w:val="en-US" w:eastAsia="zh-CN"/>
              </w:rPr>
              <w:t>监管范围内工贸企业</w:t>
            </w:r>
          </w:p>
        </w:tc>
        <w:tc>
          <w:tcPr>
            <w:tcW w:w="1260" w:type="dxa"/>
            <w:noWrap w:val="0"/>
            <w:vAlign w:val="center"/>
          </w:tcPr>
          <w:p w14:paraId="3B3220F5">
            <w:pPr>
              <w:keepNext w:val="0"/>
              <w:keepLines w:val="0"/>
              <w:pageBreakBefore w:val="0"/>
              <w:kinsoku/>
              <w:wordWrap/>
              <w:overflowPunct/>
              <w:topLinePunct w:val="0"/>
              <w:autoSpaceDE/>
              <w:autoSpaceDN/>
              <w:bidi w:val="0"/>
              <w:adjustRightInd/>
              <w:snapToGrid/>
              <w:spacing w:beforeAutospacing="0" w:afterAutospacing="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按照检查对象风险等级，设定不同的比例分级抽取</w:t>
            </w:r>
          </w:p>
        </w:tc>
        <w:tc>
          <w:tcPr>
            <w:tcW w:w="1245" w:type="dxa"/>
            <w:noWrap w:val="0"/>
            <w:vAlign w:val="center"/>
          </w:tcPr>
          <w:p w14:paraId="7FAE1418">
            <w:pPr>
              <w:keepNext w:val="0"/>
              <w:keepLines w:val="0"/>
              <w:pageBreakBefore w:val="0"/>
              <w:kinsoku/>
              <w:wordWrap/>
              <w:overflowPunct/>
              <w:topLinePunct w:val="0"/>
              <w:autoSpaceDE/>
              <w:autoSpaceDN/>
              <w:bidi w:val="0"/>
              <w:adjustRightInd/>
              <w:snapToGrid/>
              <w:spacing w:beforeAutospacing="0" w:afterAutospacing="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4-12月</w:t>
            </w:r>
          </w:p>
        </w:tc>
        <w:tc>
          <w:tcPr>
            <w:tcW w:w="1425" w:type="dxa"/>
            <w:noWrap w:val="0"/>
            <w:vAlign w:val="center"/>
          </w:tcPr>
          <w:p w14:paraId="4A4BD986">
            <w:pPr>
              <w:keepNext w:val="0"/>
              <w:keepLines w:val="0"/>
              <w:pageBreakBefore w:val="0"/>
              <w:kinsoku/>
              <w:wordWrap/>
              <w:overflowPunct/>
              <w:topLinePunct w:val="0"/>
              <w:autoSpaceDE/>
              <w:autoSpaceDN/>
              <w:bidi w:val="0"/>
              <w:adjustRightInd/>
              <w:snapToGrid/>
              <w:spacing w:beforeAutospacing="0" w:afterAutospacing="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宋体" w:eastAsia="仿宋_GB2312" w:cs="仿宋_GB2312"/>
                <w:i w:val="0"/>
                <w:iCs w:val="0"/>
                <w:color w:val="auto"/>
                <w:sz w:val="24"/>
                <w:szCs w:val="24"/>
                <w:u w:val="none"/>
              </w:rPr>
              <w:t>工贸行业安全监督</w:t>
            </w:r>
            <w:r>
              <w:rPr>
                <w:rFonts w:hint="eastAsia" w:ascii="仿宋_GB2312" w:hAnsi="宋体" w:eastAsia="仿宋_GB2312" w:cs="仿宋_GB2312"/>
                <w:i w:val="0"/>
                <w:iCs w:val="0"/>
                <w:color w:val="auto"/>
                <w:sz w:val="24"/>
                <w:szCs w:val="24"/>
                <w:u w:val="none"/>
                <w:lang w:val="en-US" w:eastAsia="zh-CN"/>
              </w:rPr>
              <w:t>股</w:t>
            </w:r>
          </w:p>
        </w:tc>
      </w:tr>
      <w:tr w14:paraId="56F8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83" w:type="dxa"/>
            <w:noWrap w:val="0"/>
            <w:vAlign w:val="center"/>
          </w:tcPr>
          <w:p w14:paraId="497AC53B">
            <w:pPr>
              <w:keepNext w:val="0"/>
              <w:keepLines w:val="0"/>
              <w:pageBreakBefore w:val="0"/>
              <w:kinsoku/>
              <w:wordWrap/>
              <w:overflowPunct/>
              <w:topLinePunct w:val="0"/>
              <w:autoSpaceDE/>
              <w:autoSpaceDN/>
              <w:bidi w:val="0"/>
              <w:adjustRightInd/>
              <w:snapToGrid/>
              <w:spacing w:beforeAutospacing="0" w:afterAutospacing="0"/>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314" w:type="dxa"/>
            <w:noWrap w:val="0"/>
            <w:vAlign w:val="center"/>
          </w:tcPr>
          <w:p w14:paraId="63C7A804">
            <w:pPr>
              <w:keepNext w:val="0"/>
              <w:keepLines w:val="0"/>
              <w:pageBreakBefore w:val="0"/>
              <w:kinsoku/>
              <w:wordWrap/>
              <w:overflowPunct/>
              <w:topLinePunct w:val="0"/>
              <w:autoSpaceDE/>
              <w:autoSpaceDN/>
              <w:bidi w:val="0"/>
              <w:adjustRightInd/>
              <w:snapToGrid/>
              <w:spacing w:beforeAutospacing="0" w:afterAutospacing="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危化行业领域“双随机”联合抽查</w:t>
            </w:r>
          </w:p>
        </w:tc>
        <w:tc>
          <w:tcPr>
            <w:tcW w:w="1035" w:type="dxa"/>
            <w:noWrap w:val="0"/>
            <w:vAlign w:val="center"/>
          </w:tcPr>
          <w:p w14:paraId="2D035113">
            <w:pPr>
              <w:keepNext w:val="0"/>
              <w:keepLines w:val="0"/>
              <w:pageBreakBefore w:val="0"/>
              <w:kinsoku/>
              <w:wordWrap/>
              <w:overflowPunct/>
              <w:topLinePunct w:val="0"/>
              <w:autoSpaceDE/>
              <w:autoSpaceDN/>
              <w:bidi w:val="0"/>
              <w:adjustRightInd/>
              <w:snapToGrid/>
              <w:spacing w:beforeAutospacing="0" w:afterAutospacing="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县应急管理局</w:t>
            </w:r>
          </w:p>
        </w:tc>
        <w:tc>
          <w:tcPr>
            <w:tcW w:w="953" w:type="dxa"/>
            <w:noWrap w:val="0"/>
            <w:vAlign w:val="center"/>
          </w:tcPr>
          <w:p w14:paraId="5CF6600A">
            <w:pPr>
              <w:keepNext w:val="0"/>
              <w:keepLines w:val="0"/>
              <w:pageBreakBefore w:val="0"/>
              <w:kinsoku/>
              <w:wordWrap/>
              <w:overflowPunct/>
              <w:topLinePunct w:val="0"/>
              <w:autoSpaceDE/>
              <w:autoSpaceDN/>
              <w:bidi w:val="0"/>
              <w:adjustRightInd/>
              <w:snapToGrid/>
              <w:spacing w:beforeAutospacing="0" w:afterAutospacing="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县气象局</w:t>
            </w:r>
          </w:p>
        </w:tc>
        <w:tc>
          <w:tcPr>
            <w:tcW w:w="855" w:type="dxa"/>
            <w:noWrap w:val="0"/>
            <w:vAlign w:val="center"/>
          </w:tcPr>
          <w:p w14:paraId="545890FD">
            <w:pPr>
              <w:keepNext w:val="0"/>
              <w:keepLines w:val="0"/>
              <w:pageBreakBefore w:val="0"/>
              <w:kinsoku/>
              <w:wordWrap/>
              <w:overflowPunct/>
              <w:topLinePunct w:val="0"/>
              <w:autoSpaceDE/>
              <w:autoSpaceDN/>
              <w:bidi w:val="0"/>
              <w:adjustRightInd/>
              <w:snapToGrid/>
              <w:spacing w:beforeAutospacing="0" w:afterAutospacing="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定向</w:t>
            </w:r>
          </w:p>
        </w:tc>
        <w:tc>
          <w:tcPr>
            <w:tcW w:w="3945" w:type="dxa"/>
            <w:noWrap w:val="0"/>
            <w:vAlign w:val="center"/>
          </w:tcPr>
          <w:p w14:paraId="5FFB583D">
            <w:pPr>
              <w:keepNext w:val="0"/>
              <w:keepLines w:val="0"/>
              <w:pageBreakBefore w:val="0"/>
              <w:kinsoku/>
              <w:wordWrap/>
              <w:overflowPunct/>
              <w:topLinePunct w:val="0"/>
              <w:autoSpaceDE/>
              <w:autoSpaceDN/>
              <w:bidi w:val="0"/>
              <w:adjustRightInd/>
              <w:snapToGrid/>
              <w:spacing w:beforeAutospacing="0" w:afterAutospacing="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县</w:t>
            </w:r>
            <w:r>
              <w:rPr>
                <w:rFonts w:hint="default" w:ascii="仿宋_GB2312" w:hAnsi="仿宋_GB2312" w:eastAsia="仿宋_GB2312" w:cs="仿宋_GB2312"/>
                <w:b/>
                <w:bCs/>
                <w:color w:val="auto"/>
                <w:sz w:val="24"/>
                <w:szCs w:val="24"/>
                <w:vertAlign w:val="baseline"/>
                <w:lang w:val="en-US" w:eastAsia="zh-CN"/>
              </w:rPr>
              <w:t>应急管理局</w:t>
            </w:r>
            <w:r>
              <w:rPr>
                <w:rFonts w:hint="default" w:ascii="仿宋_GB2312" w:hAnsi="仿宋_GB2312" w:eastAsia="仿宋_GB2312" w:cs="仿宋_GB2312"/>
                <w:color w:val="auto"/>
                <w:sz w:val="24"/>
                <w:szCs w:val="24"/>
                <w:vertAlign w:val="baseline"/>
                <w:lang w:val="en-US" w:eastAsia="zh-CN"/>
              </w:rPr>
              <w:t>：</w:t>
            </w:r>
          </w:p>
          <w:p w14:paraId="7B54ECF2">
            <w:pPr>
              <w:keepNext w:val="0"/>
              <w:keepLines w:val="0"/>
              <w:pageBreakBefore w:val="0"/>
              <w:kinsoku/>
              <w:wordWrap/>
              <w:overflowPunct/>
              <w:topLinePunct w:val="0"/>
              <w:autoSpaceDE/>
              <w:autoSpaceDN/>
              <w:bidi w:val="0"/>
              <w:adjustRightInd/>
              <w:snapToGrid/>
              <w:spacing w:beforeAutospacing="0" w:afterAutospacing="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危险化学品经营企业安全条件保持情况；</w:t>
            </w:r>
          </w:p>
          <w:p w14:paraId="4FC99158">
            <w:pPr>
              <w:keepNext w:val="0"/>
              <w:keepLines w:val="0"/>
              <w:pageBreakBefore w:val="0"/>
              <w:kinsoku/>
              <w:wordWrap/>
              <w:overflowPunct/>
              <w:topLinePunct w:val="0"/>
              <w:autoSpaceDE/>
              <w:autoSpaceDN/>
              <w:bidi w:val="0"/>
              <w:adjustRightInd/>
              <w:snapToGrid/>
              <w:spacing w:beforeAutospacing="0" w:afterAutospacing="0"/>
              <w:jc w:val="both"/>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县气象局</w:t>
            </w:r>
            <w:r>
              <w:rPr>
                <w:rFonts w:hint="default" w:ascii="仿宋_GB2312" w:hAnsi="仿宋_GB2312" w:eastAsia="仿宋_GB2312" w:cs="仿宋_GB2312"/>
                <w:color w:val="auto"/>
                <w:sz w:val="24"/>
                <w:szCs w:val="24"/>
                <w:vertAlign w:val="baseline"/>
                <w:lang w:val="en-US" w:eastAsia="zh-CN"/>
              </w:rPr>
              <w:t>：</w:t>
            </w:r>
          </w:p>
          <w:p w14:paraId="5A452944">
            <w:pPr>
              <w:keepNext w:val="0"/>
              <w:keepLines w:val="0"/>
              <w:pageBreakBefore w:val="0"/>
              <w:kinsoku/>
              <w:wordWrap/>
              <w:overflowPunct/>
              <w:topLinePunct w:val="0"/>
              <w:autoSpaceDE/>
              <w:autoSpaceDN/>
              <w:bidi w:val="0"/>
              <w:adjustRightInd/>
              <w:snapToGrid/>
              <w:spacing w:beforeAutospacing="0" w:afterAutospacing="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1.化学品仓库和烟花爆竹、石化等易燃易爆建设工程和场所的雷电防护装置审计审核、雷电防护装置竣工验收两项许可办理情况；                              2.年度雷电防护装置检测情况。</w:t>
            </w:r>
          </w:p>
        </w:tc>
        <w:tc>
          <w:tcPr>
            <w:tcW w:w="1170" w:type="dxa"/>
            <w:noWrap w:val="0"/>
            <w:vAlign w:val="center"/>
          </w:tcPr>
          <w:p w14:paraId="63EBF545">
            <w:pPr>
              <w:keepNext w:val="0"/>
              <w:keepLines w:val="0"/>
              <w:pageBreakBefore w:val="0"/>
              <w:kinsoku/>
              <w:wordWrap/>
              <w:overflowPunct/>
              <w:topLinePunct w:val="0"/>
              <w:autoSpaceDE/>
              <w:autoSpaceDN/>
              <w:bidi w:val="0"/>
              <w:adjustRightInd/>
              <w:snapToGrid/>
              <w:spacing w:beforeAutospacing="0" w:afterAutospacing="0"/>
              <w:jc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监管范围内危化企业</w:t>
            </w:r>
          </w:p>
        </w:tc>
        <w:tc>
          <w:tcPr>
            <w:tcW w:w="1260" w:type="dxa"/>
            <w:noWrap w:val="0"/>
            <w:vAlign w:val="center"/>
          </w:tcPr>
          <w:p w14:paraId="2E88F8BD">
            <w:pPr>
              <w:keepNext w:val="0"/>
              <w:keepLines w:val="0"/>
              <w:pageBreakBefore w:val="0"/>
              <w:kinsoku/>
              <w:wordWrap/>
              <w:overflowPunct/>
              <w:topLinePunct w:val="0"/>
              <w:autoSpaceDE/>
              <w:autoSpaceDN/>
              <w:bidi w:val="0"/>
              <w:adjustRightInd/>
              <w:snapToGrid/>
              <w:spacing w:beforeAutospacing="0" w:afterAutospacing="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按照检查对象风险等级，设定不同的比例分级抽取</w:t>
            </w:r>
          </w:p>
        </w:tc>
        <w:tc>
          <w:tcPr>
            <w:tcW w:w="1245" w:type="dxa"/>
            <w:noWrap w:val="0"/>
            <w:vAlign w:val="center"/>
          </w:tcPr>
          <w:p w14:paraId="2C648A99">
            <w:pPr>
              <w:keepNext w:val="0"/>
              <w:keepLines w:val="0"/>
              <w:pageBreakBefore w:val="0"/>
              <w:kinsoku/>
              <w:wordWrap/>
              <w:overflowPunct/>
              <w:topLinePunct w:val="0"/>
              <w:autoSpaceDE/>
              <w:autoSpaceDN/>
              <w:bidi w:val="0"/>
              <w:adjustRightInd/>
              <w:snapToGrid/>
              <w:spacing w:beforeAutospacing="0" w:afterAutospacing="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4-12月</w:t>
            </w:r>
          </w:p>
        </w:tc>
        <w:tc>
          <w:tcPr>
            <w:tcW w:w="1425" w:type="dxa"/>
            <w:noWrap w:val="0"/>
            <w:vAlign w:val="center"/>
          </w:tcPr>
          <w:p w14:paraId="19A6D68B">
            <w:pPr>
              <w:keepNext w:val="0"/>
              <w:keepLines w:val="0"/>
              <w:pageBreakBefore w:val="0"/>
              <w:kinsoku/>
              <w:wordWrap/>
              <w:overflowPunct/>
              <w:topLinePunct w:val="0"/>
              <w:autoSpaceDE/>
              <w:autoSpaceDN/>
              <w:bidi w:val="0"/>
              <w:adjustRightInd/>
              <w:snapToGrid/>
              <w:spacing w:beforeAutospacing="0" w:afterAutospacing="0"/>
              <w:jc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lang w:val="en-US" w:eastAsia="zh-CN"/>
              </w:rPr>
              <w:t>危险化学品</w:t>
            </w:r>
            <w:r>
              <w:rPr>
                <w:rFonts w:hint="eastAsia" w:ascii="仿宋_GB2312" w:hAnsi="宋体" w:eastAsia="仿宋_GB2312" w:cs="仿宋_GB2312"/>
                <w:i w:val="0"/>
                <w:iCs w:val="0"/>
                <w:color w:val="auto"/>
                <w:sz w:val="24"/>
                <w:szCs w:val="24"/>
                <w:u w:val="none"/>
              </w:rPr>
              <w:t>安全监督</w:t>
            </w:r>
            <w:r>
              <w:rPr>
                <w:rFonts w:hint="eastAsia" w:ascii="仿宋_GB2312" w:hAnsi="宋体" w:eastAsia="仿宋_GB2312" w:cs="仿宋_GB2312"/>
                <w:i w:val="0"/>
                <w:iCs w:val="0"/>
                <w:color w:val="auto"/>
                <w:sz w:val="24"/>
                <w:szCs w:val="24"/>
                <w:u w:val="none"/>
                <w:lang w:val="en-US" w:eastAsia="zh-CN"/>
              </w:rPr>
              <w:t>管理股</w:t>
            </w:r>
          </w:p>
        </w:tc>
      </w:tr>
    </w:tbl>
    <w:p w14:paraId="5BA7756C">
      <w:pPr>
        <w:keepNext w:val="0"/>
        <w:keepLines w:val="0"/>
        <w:pageBreakBefore w:val="0"/>
        <w:kinsoku/>
        <w:wordWrap/>
        <w:overflowPunct/>
        <w:topLinePunct w:val="0"/>
        <w:autoSpaceDE/>
        <w:autoSpaceDN/>
        <w:bidi w:val="0"/>
        <w:adjustRightInd/>
        <w:snapToGrid/>
        <w:spacing w:beforeAutospacing="0" w:afterAutospacing="0"/>
        <w:jc w:val="left"/>
        <w:rPr>
          <w:rFonts w:hint="eastAsia" w:ascii="黑体" w:hAnsi="黑体" w:eastAsia="黑体" w:cs="黑体"/>
          <w:color w:val="auto"/>
          <w:sz w:val="24"/>
          <w:szCs w:val="24"/>
          <w:vertAlign w:val="baseline"/>
          <w:lang w:val="en-US" w:eastAsia="zh-CN"/>
        </w:rPr>
        <w:sectPr>
          <w:pgSz w:w="16838" w:h="11906" w:orient="landscape"/>
          <w:pgMar w:top="1800" w:right="1440" w:bottom="1800" w:left="1440" w:header="851" w:footer="992" w:gutter="0"/>
          <w:cols w:space="425" w:num="1"/>
          <w:docGrid w:type="lines" w:linePitch="312" w:charSpace="0"/>
        </w:sectPr>
      </w:pPr>
    </w:p>
    <w:p w14:paraId="3708A9C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6662C"/>
    <w:rsid w:val="7CC66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2026-05-21T09:39:00Z</dcterms:created>
  <dc:creator>梓明</dc:creator>
  <cp:lastModifiedBy>梓明</cp:lastModifiedBy>
  <dcterms:modified xsi:type="dcterms:W3CDTF">2026-05-21T09:39:44Z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22775374D9F04B87A5D656ED2C053AA9_11</vt:lpwstr>
  </property>
  <property fmtid="{D5CDD505-2E9C-101B-9397-08002B2CF9AE}" pid="4" name="KSOTemplateDocerSaveRecord">
    <vt:lpwstr>eyJoZGlkIjoiY2UxM2I3MDJlOGRiMGM4ZjZlNTc0MjdkNDFlOTE2NjAiLCJ1c2VySWQiOiI1Mzc0NDc1NDEifQ==</vt:lpwstr>
  </property>
</Properties>
</file>