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BB488E">
      <w:pPr>
        <w:widowControl w:val="0"/>
        <w:overflowPunct w:val="0"/>
        <w:spacing w:line="576" w:lineRule="exact"/>
        <w:jc w:val="center"/>
        <w:rPr>
          <w:rFonts w:hint="eastAsia" w:ascii="方正小标宋简体" w:hAnsi="方正小标宋简体" w:eastAsia="方正小标宋简体" w:cs="方正小标宋简体"/>
          <w:bCs/>
          <w:sz w:val="44"/>
          <w:szCs w:val="44"/>
        </w:rPr>
      </w:pPr>
      <w:bookmarkStart w:id="0" w:name="_GoBack"/>
      <w:bookmarkEnd w:id="0"/>
    </w:p>
    <w:p w14:paraId="3BC2C10D">
      <w:pPr>
        <w:widowControl w:val="0"/>
        <w:overflowPunct w:val="0"/>
        <w:spacing w:line="576" w:lineRule="exact"/>
        <w:jc w:val="center"/>
        <w:rPr>
          <w:rFonts w:hint="eastAsia" w:ascii="方正小标宋简体" w:hAnsi="方正小标宋简体" w:eastAsia="方正小标宋简体" w:cs="方正小标宋简体"/>
          <w:bCs/>
          <w:sz w:val="44"/>
          <w:szCs w:val="44"/>
        </w:rPr>
      </w:pPr>
    </w:p>
    <w:p w14:paraId="762AF7E1">
      <w:pPr>
        <w:widowControl w:val="0"/>
        <w:overflowPunct w:val="0"/>
        <w:spacing w:line="576" w:lineRule="exact"/>
        <w:jc w:val="center"/>
        <w:rPr>
          <w:rFonts w:hint="eastAsia" w:ascii="方正小标宋简体" w:hAnsi="方正小标宋简体" w:eastAsia="方正小标宋简体" w:cs="方正小标宋简体"/>
          <w:bCs/>
          <w:sz w:val="44"/>
          <w:szCs w:val="44"/>
        </w:rPr>
      </w:pPr>
    </w:p>
    <w:p w14:paraId="56262FAB">
      <w:pPr>
        <w:widowControl w:val="0"/>
        <w:overflowPunct w:val="0"/>
        <w:spacing w:line="576" w:lineRule="exact"/>
        <w:jc w:val="center"/>
        <w:rPr>
          <w:rFonts w:hint="eastAsia" w:ascii="方正小标宋简体" w:hAnsi="方正小标宋简体" w:eastAsia="方正小标宋简体" w:cs="方正小标宋简体"/>
          <w:bCs/>
          <w:sz w:val="44"/>
          <w:szCs w:val="44"/>
        </w:rPr>
      </w:pPr>
    </w:p>
    <w:p w14:paraId="33850637">
      <w:pPr>
        <w:widowControl w:val="0"/>
        <w:overflowPunct w:val="0"/>
        <w:spacing w:line="576" w:lineRule="exact"/>
        <w:jc w:val="center"/>
        <w:rPr>
          <w:rFonts w:hint="eastAsia" w:ascii="方正小标宋简体" w:hAnsi="方正小标宋简体" w:eastAsia="方正小标宋简体" w:cs="方正小标宋简体"/>
          <w:bCs/>
          <w:sz w:val="44"/>
          <w:szCs w:val="44"/>
        </w:rPr>
      </w:pPr>
    </w:p>
    <w:p w14:paraId="032CBB0C">
      <w:pPr>
        <w:widowControl w:val="0"/>
        <w:overflowPunct w:val="0"/>
        <w:spacing w:line="720" w:lineRule="auto"/>
        <w:ind w:left="-420" w:leftChars="-200" w:firstLine="880" w:firstLineChars="200"/>
        <w:jc w:val="both"/>
        <w:rPr>
          <w:rFonts w:hint="default" w:ascii="方正小标宋简体" w:hAnsi="方正小标宋简体" w:eastAsia="方正小标宋简体" w:cs="方正小标宋简体"/>
          <w:bCs/>
          <w:sz w:val="44"/>
          <w:szCs w:val="44"/>
          <w:lang w:val="en-US" w:eastAsia="zh-CN"/>
        </w:rPr>
      </w:pPr>
      <w:r>
        <w:rPr>
          <w:rFonts w:hint="eastAsia" w:ascii="方正小标宋简体" w:hAnsi="方正小标宋简体" w:eastAsia="方正小标宋简体" w:cs="方正小标宋简体"/>
          <w:bCs/>
          <w:sz w:val="44"/>
          <w:szCs w:val="44"/>
          <w:lang w:val="en-US" w:eastAsia="zh-CN"/>
        </w:rPr>
        <w:t>新野县中心</w:t>
      </w:r>
      <w:r>
        <w:rPr>
          <w:rFonts w:hint="eastAsia" w:ascii="方正小标宋简体" w:hAnsi="方正小标宋简体" w:eastAsia="方正小标宋简体" w:cs="方正小标宋简体"/>
          <w:bCs/>
          <w:sz w:val="44"/>
          <w:szCs w:val="44"/>
          <w:lang w:eastAsia="zh-CN"/>
        </w:rPr>
        <w:t>城区排水、</w:t>
      </w:r>
      <w:r>
        <w:rPr>
          <w:rFonts w:hint="eastAsia" w:ascii="方正小标宋简体" w:hAnsi="方正小标宋简体" w:eastAsia="方正小标宋简体" w:cs="方正小标宋简体"/>
          <w:bCs/>
          <w:sz w:val="44"/>
          <w:szCs w:val="44"/>
          <w:lang w:val="en-US" w:eastAsia="zh-CN"/>
        </w:rPr>
        <w:t>防洪排涝和水系</w:t>
      </w:r>
    </w:p>
    <w:p w14:paraId="58692066">
      <w:pPr>
        <w:widowControl w:val="0"/>
        <w:overflowPunct w:val="0"/>
        <w:spacing w:line="720" w:lineRule="auto"/>
        <w:ind w:firstLine="1760" w:firstLineChars="400"/>
        <w:jc w:val="both"/>
        <w:rPr>
          <w:rFonts w:hint="eastAsia" w:ascii="方正小标宋简体" w:hAnsi="方正小标宋简体" w:eastAsia="方正小标宋简体" w:cs="方正小标宋简体"/>
          <w:bCs/>
          <w:sz w:val="44"/>
          <w:szCs w:val="44"/>
          <w:lang w:val="zh-CN" w:eastAsia="zh-CN"/>
        </w:rPr>
      </w:pPr>
      <w:r>
        <w:rPr>
          <w:rFonts w:hint="eastAsia" w:ascii="方正小标宋简体" w:hAnsi="方正小标宋简体" w:eastAsia="方正小标宋简体" w:cs="方正小标宋简体"/>
          <w:bCs/>
          <w:sz w:val="44"/>
          <w:szCs w:val="44"/>
          <w:lang w:eastAsia="zh-CN"/>
        </w:rPr>
        <w:t>专项规划（202</w:t>
      </w:r>
      <w:r>
        <w:rPr>
          <w:rFonts w:hint="eastAsia" w:ascii="方正小标宋简体" w:hAnsi="方正小标宋简体" w:eastAsia="方正小标宋简体" w:cs="方正小标宋简体"/>
          <w:bCs/>
          <w:sz w:val="44"/>
          <w:szCs w:val="44"/>
          <w:lang w:val="en-US" w:eastAsia="zh-CN"/>
        </w:rPr>
        <w:t>5</w:t>
      </w:r>
      <w:r>
        <w:rPr>
          <w:rFonts w:hint="eastAsia" w:ascii="方正小标宋简体" w:hAnsi="方正小标宋简体" w:eastAsia="方正小标宋简体" w:cs="方正小标宋简体"/>
          <w:bCs/>
          <w:sz w:val="44"/>
          <w:szCs w:val="44"/>
          <w:lang w:eastAsia="zh-CN"/>
        </w:rPr>
        <w:t>-203</w:t>
      </w:r>
      <w:r>
        <w:rPr>
          <w:rFonts w:hint="eastAsia" w:ascii="方正小标宋简体" w:hAnsi="方正小标宋简体" w:eastAsia="方正小标宋简体" w:cs="方正小标宋简体"/>
          <w:bCs/>
          <w:sz w:val="44"/>
          <w:szCs w:val="44"/>
          <w:lang w:val="en-US" w:eastAsia="zh-CN"/>
        </w:rPr>
        <w:t>5</w:t>
      </w:r>
      <w:r>
        <w:rPr>
          <w:rFonts w:hint="eastAsia" w:ascii="方正小标宋简体" w:hAnsi="方正小标宋简体" w:eastAsia="方正小标宋简体" w:cs="方正小标宋简体"/>
          <w:bCs/>
          <w:sz w:val="44"/>
          <w:szCs w:val="44"/>
          <w:lang w:eastAsia="zh-CN"/>
        </w:rPr>
        <w:t>年）</w:t>
      </w:r>
    </w:p>
    <w:p w14:paraId="00A917E3">
      <w:pPr>
        <w:widowControl w:val="0"/>
        <w:overflowPunct w:val="0"/>
        <w:spacing w:line="720" w:lineRule="auto"/>
        <w:ind w:left="420" w:leftChars="200" w:firstLine="3080" w:firstLineChars="700"/>
        <w:jc w:val="both"/>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公示稿</w:t>
      </w:r>
    </w:p>
    <w:p w14:paraId="54246ADC">
      <w:pPr>
        <w:pStyle w:val="4"/>
        <w:rPr>
          <w:rFonts w:hint="eastAsia" w:ascii="方正小标宋简体" w:hAnsi="方正小标宋简体" w:eastAsia="方正小标宋简体" w:cs="方正小标宋简体"/>
          <w:bCs/>
          <w:sz w:val="44"/>
          <w:szCs w:val="44"/>
          <w:lang w:val="en-US" w:eastAsia="zh-CN"/>
        </w:rPr>
      </w:pPr>
    </w:p>
    <w:p w14:paraId="3DF7B29E">
      <w:pPr>
        <w:pStyle w:val="5"/>
        <w:rPr>
          <w:rFonts w:hint="eastAsia" w:ascii="方正小标宋简体" w:hAnsi="方正小标宋简体" w:eastAsia="方正小标宋简体" w:cs="方正小标宋简体"/>
          <w:bCs/>
          <w:sz w:val="44"/>
          <w:szCs w:val="44"/>
        </w:rPr>
      </w:pPr>
    </w:p>
    <w:p w14:paraId="3CA3991A">
      <w:pPr>
        <w:pStyle w:val="5"/>
        <w:rPr>
          <w:rFonts w:hint="eastAsia" w:ascii="方正小标宋简体" w:hAnsi="方正小标宋简体" w:eastAsia="方正小标宋简体" w:cs="方正小标宋简体"/>
          <w:bCs/>
          <w:sz w:val="44"/>
          <w:szCs w:val="44"/>
        </w:rPr>
      </w:pPr>
    </w:p>
    <w:p w14:paraId="52813382">
      <w:pPr>
        <w:pStyle w:val="5"/>
        <w:rPr>
          <w:rFonts w:hint="eastAsia" w:ascii="方正小标宋简体" w:hAnsi="方正小标宋简体" w:eastAsia="方正小标宋简体" w:cs="方正小标宋简体"/>
          <w:bCs/>
          <w:sz w:val="44"/>
          <w:szCs w:val="44"/>
        </w:rPr>
      </w:pPr>
    </w:p>
    <w:p w14:paraId="58BE911A">
      <w:pPr>
        <w:pStyle w:val="5"/>
        <w:rPr>
          <w:rFonts w:hint="eastAsia" w:ascii="方正小标宋简体" w:hAnsi="方正小标宋简体" w:eastAsia="方正小标宋简体" w:cs="方正小标宋简体"/>
          <w:bCs/>
          <w:sz w:val="44"/>
          <w:szCs w:val="44"/>
        </w:rPr>
      </w:pPr>
    </w:p>
    <w:p w14:paraId="04057C5B">
      <w:pPr>
        <w:pStyle w:val="5"/>
        <w:rPr>
          <w:rFonts w:hint="eastAsia" w:ascii="方正小标宋简体" w:hAnsi="方正小标宋简体" w:eastAsia="方正小标宋简体" w:cs="方正小标宋简体"/>
          <w:bCs/>
          <w:sz w:val="44"/>
          <w:szCs w:val="44"/>
        </w:rPr>
      </w:pPr>
    </w:p>
    <w:p w14:paraId="1DD2C022">
      <w:pPr>
        <w:widowControl w:val="0"/>
        <w:overflowPunct w:val="0"/>
        <w:spacing w:line="576" w:lineRule="exact"/>
        <w:ind w:firstLine="2880" w:firstLineChars="90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新野县住房与城乡建设局</w:t>
      </w:r>
    </w:p>
    <w:p w14:paraId="7C11E9D5">
      <w:pPr>
        <w:widowControl w:val="0"/>
        <w:overflowPunct w:val="0"/>
        <w:spacing w:line="576" w:lineRule="exact"/>
        <w:ind w:firstLine="3520" w:firstLineChars="110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2026年6月</w:t>
      </w:r>
    </w:p>
    <w:p w14:paraId="40DF84EA">
      <w:pPr>
        <w:pStyle w:val="4"/>
        <w:rPr>
          <w:rFonts w:hint="default"/>
          <w:lang w:val="en-US" w:eastAsia="zh-CN"/>
        </w:rPr>
      </w:pPr>
    </w:p>
    <w:p w14:paraId="6F592B99">
      <w:pPr>
        <w:pStyle w:val="5"/>
        <w:rPr>
          <w:rFonts w:hint="eastAsia" w:ascii="方正小标宋简体" w:hAnsi="方正小标宋简体" w:eastAsia="方正小标宋简体" w:cs="方正小标宋简体"/>
          <w:bCs/>
          <w:sz w:val="44"/>
          <w:szCs w:val="44"/>
        </w:rPr>
      </w:pPr>
    </w:p>
    <w:p w14:paraId="25E0048C">
      <w:pPr>
        <w:widowControl w:val="0"/>
        <w:overflowPunct w:val="0"/>
        <w:spacing w:line="576" w:lineRule="exact"/>
        <w:ind w:firstLine="643" w:firstLineChars="200"/>
        <w:rPr>
          <w:rFonts w:hint="eastAsia" w:ascii="黑体" w:hAnsi="黑体" w:eastAsia="黑体" w:cs="黑体"/>
          <w:b/>
          <w:bCs/>
          <w:sz w:val="32"/>
          <w:szCs w:val="32"/>
          <w:lang w:val="zh-CN" w:eastAsia="zh-CN"/>
        </w:rPr>
      </w:pPr>
      <w:r>
        <w:rPr>
          <w:rFonts w:hint="eastAsia" w:ascii="黑体" w:hAnsi="黑体" w:eastAsia="黑体" w:cs="黑体"/>
          <w:b/>
          <w:bCs/>
          <w:sz w:val="32"/>
          <w:szCs w:val="32"/>
        </w:rPr>
        <w:t>一、</w:t>
      </w:r>
      <w:r>
        <w:rPr>
          <w:rFonts w:hint="eastAsia" w:ascii="黑体" w:hAnsi="黑体" w:eastAsia="黑体" w:cs="黑体"/>
          <w:b/>
          <w:bCs/>
          <w:sz w:val="32"/>
          <w:szCs w:val="32"/>
          <w:lang w:val="zh-CN"/>
        </w:rPr>
        <w:t>规划</w:t>
      </w:r>
      <w:r>
        <w:rPr>
          <w:rFonts w:hint="eastAsia" w:ascii="黑体" w:hAnsi="黑体" w:eastAsia="黑体" w:cs="黑体"/>
          <w:b/>
          <w:bCs/>
          <w:sz w:val="32"/>
          <w:szCs w:val="32"/>
          <w:lang w:val="en-US" w:eastAsia="zh-CN"/>
        </w:rPr>
        <w:t>背景</w:t>
      </w:r>
    </w:p>
    <w:p w14:paraId="2631389C">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default" w:ascii="仿宋_GB2312" w:hAnsi="仿宋_GB2312" w:eastAsia="仿宋_GB2312" w:cs="仿宋_GB2312"/>
          <w:color w:val="000000" w:themeColor="text1"/>
          <w:sz w:val="32"/>
          <w:szCs w:val="32"/>
          <w:lang w:val="zh-CN" w:eastAsia="zh-CN"/>
          <w14:textFill>
            <w14:solidFill>
              <w14:schemeClr w14:val="tx1"/>
            </w14:solidFill>
          </w14:textFill>
        </w:rPr>
        <w:t>为切实提高</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新野县中心</w:t>
      </w:r>
      <w:r>
        <w:rPr>
          <w:rFonts w:hint="eastAsia" w:ascii="仿宋_GB2312" w:hAnsi="仿宋_GB2312" w:eastAsia="仿宋_GB2312" w:cs="仿宋_GB2312"/>
          <w:color w:val="000000" w:themeColor="text1"/>
          <w:sz w:val="32"/>
          <w:szCs w:val="32"/>
          <w:lang w:val="zh-CN" w:eastAsia="zh-CN"/>
          <w14:textFill>
            <w14:solidFill>
              <w14:schemeClr w14:val="tx1"/>
            </w14:solidFill>
          </w14:textFill>
        </w:rPr>
        <w:t>城区</w:t>
      </w:r>
      <w:r>
        <w:rPr>
          <w:rFonts w:hint="default" w:ascii="仿宋_GB2312" w:hAnsi="仿宋_GB2312" w:eastAsia="仿宋_GB2312" w:cs="仿宋_GB2312"/>
          <w:color w:val="000000" w:themeColor="text1"/>
          <w:sz w:val="32"/>
          <w:szCs w:val="32"/>
          <w:lang w:val="zh-CN" w:eastAsia="zh-CN"/>
          <w14:textFill>
            <w14:solidFill>
              <w14:schemeClr w14:val="tx1"/>
            </w14:solidFill>
          </w14:textFill>
        </w:rPr>
        <w:t>排水防涝能力和水平，改善水环境质量，落实污水处理及再生利用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发展目标</w:t>
      </w:r>
      <w:r>
        <w:rPr>
          <w:rFonts w:hint="default" w:ascii="仿宋_GB2312" w:hAnsi="仿宋_GB2312" w:eastAsia="仿宋_GB2312" w:cs="仿宋_GB2312"/>
          <w:color w:val="000000" w:themeColor="text1"/>
          <w:sz w:val="32"/>
          <w:szCs w:val="32"/>
          <w:lang w:val="zh-CN" w:eastAsia="zh-CN"/>
          <w14:textFill>
            <w14:solidFill>
              <w14:schemeClr w14:val="tx1"/>
            </w14:solidFill>
          </w14:textFill>
        </w:rPr>
        <w:t>，指导海绵城市建设工作，对</w:t>
      </w:r>
      <w:r>
        <w:rPr>
          <w:rFonts w:hint="eastAsia" w:ascii="仿宋_GB2312" w:hAnsi="仿宋_GB2312" w:eastAsia="仿宋_GB2312" w:cs="仿宋_GB2312"/>
          <w:color w:val="000000" w:themeColor="text1"/>
          <w:sz w:val="32"/>
          <w:szCs w:val="32"/>
          <w:lang w:val="zh-CN" w:eastAsia="zh-CN"/>
          <w14:textFill>
            <w14:solidFill>
              <w14:schemeClr w14:val="tx1"/>
            </w14:solidFill>
          </w14:textFill>
        </w:rPr>
        <w:t>新野县</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中心</w:t>
      </w:r>
      <w:r>
        <w:rPr>
          <w:rFonts w:hint="eastAsia" w:ascii="仿宋_GB2312" w:hAnsi="仿宋_GB2312" w:eastAsia="仿宋_GB2312" w:cs="仿宋_GB2312"/>
          <w:color w:val="000000" w:themeColor="text1"/>
          <w:sz w:val="32"/>
          <w:szCs w:val="32"/>
          <w:lang w:val="zh-CN" w:eastAsia="zh-CN"/>
          <w14:textFill>
            <w14:solidFill>
              <w14:schemeClr w14:val="tx1"/>
            </w14:solidFill>
          </w14:textFill>
        </w:rPr>
        <w:t>城区</w:t>
      </w:r>
      <w:r>
        <w:rPr>
          <w:rFonts w:hint="default" w:ascii="仿宋_GB2312" w:hAnsi="仿宋_GB2312" w:eastAsia="仿宋_GB2312" w:cs="仿宋_GB2312"/>
          <w:color w:val="000000" w:themeColor="text1"/>
          <w:sz w:val="32"/>
          <w:szCs w:val="32"/>
          <w:lang w:val="zh-CN" w:eastAsia="zh-CN"/>
          <w14:textFill>
            <w14:solidFill>
              <w14:schemeClr w14:val="tx1"/>
            </w14:solidFill>
          </w14:textFill>
        </w:rPr>
        <w:t>排水</w:t>
      </w:r>
      <w:r>
        <w:rPr>
          <w:rFonts w:hint="eastAsia" w:ascii="仿宋_GB2312" w:hAnsi="仿宋_GB2312" w:eastAsia="仿宋_GB2312" w:cs="仿宋_GB2312"/>
          <w:color w:val="000000" w:themeColor="text1"/>
          <w:sz w:val="32"/>
          <w:szCs w:val="32"/>
          <w:lang w:val="zh-CN" w:eastAsia="zh-CN"/>
          <w14:textFill>
            <w14:solidFill>
              <w14:schemeClr w14:val="tx1"/>
            </w14:solidFill>
          </w14:textFill>
        </w:rPr>
        <w:t>、防洪</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排涝和</w:t>
      </w:r>
      <w:r>
        <w:rPr>
          <w:rFonts w:hint="eastAsia" w:ascii="仿宋_GB2312" w:hAnsi="仿宋_GB2312" w:eastAsia="仿宋_GB2312" w:cs="仿宋_GB2312"/>
          <w:color w:val="000000" w:themeColor="text1"/>
          <w:sz w:val="32"/>
          <w:szCs w:val="32"/>
          <w:lang w:val="zh-CN" w:eastAsia="zh-CN"/>
          <w14:textFill>
            <w14:solidFill>
              <w14:schemeClr w14:val="tx1"/>
            </w14:solidFill>
          </w14:textFill>
        </w:rPr>
        <w:t>水系</w:t>
      </w:r>
      <w:r>
        <w:rPr>
          <w:rFonts w:hint="default" w:ascii="仿宋_GB2312" w:hAnsi="仿宋_GB2312" w:eastAsia="仿宋_GB2312" w:cs="仿宋_GB2312"/>
          <w:color w:val="000000" w:themeColor="text1"/>
          <w:sz w:val="32"/>
          <w:szCs w:val="32"/>
          <w:lang w:val="zh-CN" w:eastAsia="zh-CN"/>
          <w14:textFill>
            <w14:solidFill>
              <w14:schemeClr w14:val="tx1"/>
            </w14:solidFill>
          </w14:textFill>
        </w:rPr>
        <w:t>规划进行重新编制</w:t>
      </w:r>
      <w:r>
        <w:rPr>
          <w:rFonts w:hint="eastAsia" w:ascii="仿宋_GB2312" w:hAnsi="仿宋_GB2312" w:eastAsia="仿宋_GB2312" w:cs="仿宋_GB2312"/>
          <w:color w:val="000000" w:themeColor="text1"/>
          <w:sz w:val="32"/>
          <w:szCs w:val="32"/>
          <w:lang w:val="zh-CN"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用于</w:t>
      </w:r>
      <w:r>
        <w:rPr>
          <w:rFonts w:hint="eastAsia" w:ascii="仿宋_GB2312" w:hAnsi="仿宋_GB2312" w:eastAsia="仿宋_GB2312" w:cs="仿宋_GB2312"/>
          <w:color w:val="000000" w:themeColor="text1"/>
          <w:sz w:val="32"/>
          <w:szCs w:val="32"/>
          <w14:textFill>
            <w14:solidFill>
              <w14:schemeClr w14:val="tx1"/>
            </w14:solidFill>
          </w14:textFill>
        </w:rPr>
        <w:t>指导</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新野县中心城区基础设施</w:t>
      </w:r>
      <w:r>
        <w:rPr>
          <w:rFonts w:hint="eastAsia" w:ascii="仿宋_GB2312" w:hAnsi="仿宋_GB2312" w:eastAsia="仿宋_GB2312" w:cs="仿宋_GB2312"/>
          <w:color w:val="000000" w:themeColor="text1"/>
          <w:sz w:val="32"/>
          <w:szCs w:val="32"/>
          <w14:textFill>
            <w14:solidFill>
              <w14:schemeClr w14:val="tx1"/>
            </w14:solidFill>
          </w14:textFill>
        </w:rPr>
        <w:t>有序发展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该专项规划</w:t>
      </w:r>
      <w:r>
        <w:rPr>
          <w:rFonts w:hint="eastAsia" w:ascii="仿宋_GB2312" w:hAnsi="仿宋_GB2312" w:eastAsia="仿宋_GB2312" w:cs="仿宋_GB2312"/>
          <w:color w:val="000000" w:themeColor="text1"/>
          <w:sz w:val="32"/>
          <w:szCs w:val="32"/>
          <w14:textFill>
            <w14:solidFill>
              <w14:schemeClr w14:val="tx1"/>
            </w14:solidFill>
          </w14:textFill>
        </w:rPr>
        <w:t>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新野县</w:t>
      </w:r>
      <w:r>
        <w:rPr>
          <w:rFonts w:hint="eastAsia" w:ascii="仿宋_GB2312" w:hAnsi="仿宋_GB2312" w:eastAsia="仿宋_GB2312" w:cs="仿宋_GB2312"/>
          <w:color w:val="000000" w:themeColor="text1"/>
          <w:sz w:val="32"/>
          <w:szCs w:val="32"/>
          <w14:textFill>
            <w14:solidFill>
              <w14:schemeClr w14:val="tx1"/>
            </w14:solidFill>
          </w14:textFill>
        </w:rPr>
        <w:t>国土空间总体规划为基础，</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新野县</w:t>
      </w:r>
      <w:r>
        <w:rPr>
          <w:rFonts w:hint="eastAsia" w:ascii="仿宋_GB2312" w:hAnsi="仿宋_GB2312" w:eastAsia="仿宋_GB2312" w:cs="仿宋_GB2312"/>
          <w:color w:val="000000" w:themeColor="text1"/>
          <w:sz w:val="32"/>
          <w:szCs w:val="32"/>
          <w:lang w:eastAsia="zh-CN"/>
          <w14:textFill>
            <w14:solidFill>
              <w14:schemeClr w14:val="tx1"/>
            </w14:solidFill>
          </w14:textFill>
        </w:rPr>
        <w:t>住房与城乡建设局</w:t>
      </w:r>
      <w:r>
        <w:rPr>
          <w:rFonts w:hint="eastAsia" w:ascii="仿宋_GB2312" w:hAnsi="仿宋_GB2312" w:eastAsia="仿宋_GB2312" w:cs="仿宋_GB2312"/>
          <w:color w:val="000000" w:themeColor="text1"/>
          <w:sz w:val="32"/>
          <w:szCs w:val="32"/>
          <w14:textFill>
            <w14:solidFill>
              <w14:schemeClr w14:val="tx1"/>
            </w14:solidFill>
          </w14:textFill>
        </w:rPr>
        <w:t>组织编制了《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新野县中心</w:t>
      </w:r>
      <w:r>
        <w:rPr>
          <w:rFonts w:hint="eastAsia" w:ascii="仿宋_GB2312" w:hAnsi="仿宋_GB2312" w:eastAsia="仿宋_GB2312" w:cs="仿宋_GB2312"/>
          <w:color w:val="000000" w:themeColor="text1"/>
          <w:sz w:val="32"/>
          <w:szCs w:val="32"/>
          <w:lang w:eastAsia="zh-CN"/>
          <w14:textFill>
            <w14:solidFill>
              <w14:schemeClr w14:val="tx1"/>
            </w14:solidFill>
          </w14:textFill>
        </w:rPr>
        <w:t>城区排水、</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防洪排涝和水系</w:t>
      </w:r>
      <w:r>
        <w:rPr>
          <w:rFonts w:hint="eastAsia" w:ascii="仿宋_GB2312" w:hAnsi="仿宋_GB2312" w:eastAsia="仿宋_GB2312" w:cs="仿宋_GB2312"/>
          <w:color w:val="000000" w:themeColor="text1"/>
          <w:sz w:val="32"/>
          <w:szCs w:val="32"/>
          <w:lang w:eastAsia="zh-CN"/>
          <w14:textFill>
            <w14:solidFill>
              <w14:schemeClr w14:val="tx1"/>
            </w14:solidFill>
          </w14:textFill>
        </w:rPr>
        <w:t>专项规划（202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lang w:eastAsia="zh-CN"/>
          <w14:textFill>
            <w14:solidFill>
              <w14:schemeClr w14:val="tx1"/>
            </w14:solidFill>
          </w14:textFill>
        </w:rPr>
        <w:t>-2035年）</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（下称“本规划”）</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4DFDFCB6">
      <w:pPr>
        <w:widowControl w:val="0"/>
        <w:overflowPunct w:val="0"/>
        <w:spacing w:line="576" w:lineRule="exact"/>
        <w:ind w:firstLine="643" w:firstLineChars="200"/>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二</w:t>
      </w:r>
      <w:r>
        <w:rPr>
          <w:rFonts w:hint="eastAsia" w:ascii="黑体" w:hAnsi="黑体" w:eastAsia="黑体" w:cs="黑体"/>
          <w:b/>
          <w:bCs/>
          <w:sz w:val="32"/>
          <w:szCs w:val="32"/>
        </w:rPr>
        <w:t>、</w:t>
      </w:r>
      <w:r>
        <w:rPr>
          <w:rFonts w:hint="eastAsia" w:ascii="黑体" w:hAnsi="黑体" w:eastAsia="黑体" w:cs="黑体"/>
          <w:b/>
          <w:bCs/>
          <w:sz w:val="32"/>
          <w:szCs w:val="32"/>
          <w:lang w:val="zh-CN"/>
        </w:rPr>
        <w:t>规划</w:t>
      </w:r>
      <w:r>
        <w:rPr>
          <w:rFonts w:hint="eastAsia" w:ascii="黑体" w:hAnsi="黑体" w:eastAsia="黑体" w:cs="黑体"/>
          <w:b/>
          <w:bCs/>
          <w:sz w:val="32"/>
          <w:szCs w:val="32"/>
          <w:lang w:val="en-US" w:eastAsia="zh-CN"/>
        </w:rPr>
        <w:t>期限与范围</w:t>
      </w:r>
    </w:p>
    <w:p w14:paraId="6EA8B8B7">
      <w:pPr>
        <w:widowControl w:val="0"/>
        <w:overflowPunct w:val="0"/>
        <w:spacing w:line="576" w:lineRule="exact"/>
        <w:ind w:firstLine="643" w:firstLineChars="200"/>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1、规划期限</w:t>
      </w:r>
    </w:p>
    <w:p w14:paraId="149D7562">
      <w:pPr>
        <w:widowControl w:val="0"/>
        <w:overflowPunct w:val="0"/>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规划期限为202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—20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35</w:t>
      </w:r>
      <w:r>
        <w:rPr>
          <w:rFonts w:hint="eastAsia" w:ascii="仿宋_GB2312" w:hAnsi="仿宋_GB2312" w:eastAsia="仿宋_GB2312" w:cs="仿宋_GB2312"/>
          <w:color w:val="000000" w:themeColor="text1"/>
          <w:sz w:val="32"/>
          <w:szCs w:val="32"/>
          <w14:textFill>
            <w14:solidFill>
              <w14:schemeClr w14:val="tx1"/>
            </w14:solidFill>
          </w14:textFill>
        </w:rPr>
        <w:t>年</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其中，近期至2028年，远期至2035年。</w:t>
      </w:r>
    </w:p>
    <w:p w14:paraId="20AAD0E9">
      <w:pPr>
        <w:widowControl w:val="0"/>
        <w:overflowPunct w:val="0"/>
        <w:spacing w:line="576"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lang w:val="en-US" w:eastAsia="zh-CN"/>
        </w:rPr>
        <w:t>2、</w:t>
      </w:r>
      <w:r>
        <w:rPr>
          <w:rFonts w:hint="eastAsia" w:ascii="楷体_GB2312" w:hAnsi="楷体_GB2312" w:eastAsia="楷体_GB2312" w:cs="楷体_GB2312"/>
          <w:b/>
          <w:bCs/>
          <w:sz w:val="32"/>
          <w:szCs w:val="32"/>
        </w:rPr>
        <w:t>规划范围</w:t>
      </w:r>
    </w:p>
    <w:p w14:paraId="5347FB84">
      <w:pPr>
        <w:widowControl w:val="0"/>
        <w:overflowPunct w:val="0"/>
        <w:spacing w:line="576"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本次规划范围为《新野县国土空间总体规划（2023-2035年）》确定的中心城区范围：汉华街道、汉城街道、上港乡、城郊乡。</w:t>
      </w:r>
      <w:r>
        <w:rPr>
          <w:rFonts w:hint="default" w:ascii="仿宋_GB2312" w:hAnsi="仿宋_GB2312" w:eastAsia="仿宋_GB2312" w:cs="仿宋_GB2312"/>
          <w:color w:val="000000" w:themeColor="text1"/>
          <w:sz w:val="32"/>
          <w:szCs w:val="32"/>
          <w:lang w:val="zh-CN" w:eastAsia="zh-CN"/>
          <w14:textFill>
            <w14:solidFill>
              <w14:schemeClr w14:val="tx1"/>
            </w14:solidFill>
          </w14:textFill>
        </w:rPr>
        <w:t>西至新城大道和先进制造业开发区西侧、南至南环路和先进制造业开发区南侧、东至东环路东侧、北至G328北侧，总面积60.11平方公里。</w:t>
      </w:r>
    </w:p>
    <w:p w14:paraId="77029F68">
      <w:pPr>
        <w:widowControl w:val="0"/>
        <w:overflowPunct w:val="0"/>
        <w:spacing w:line="576" w:lineRule="exact"/>
        <w:ind w:firstLine="643" w:firstLineChars="200"/>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三、指导思想</w:t>
      </w:r>
    </w:p>
    <w:p w14:paraId="11479C35">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坚持以习近平生态文明思想为指导，精准施策、不断巩固提升排水系统治理成效，最终实现“长治久清”的治理目标，形成一套完善的治水之道。</w:t>
      </w:r>
    </w:p>
    <w:p w14:paraId="1190104C">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高标准建设污水收集处理设施，推进清污分流、雨污分流，提高污水进厂浓度和处理效率——提升污水集中收集率。</w:t>
      </w:r>
    </w:p>
    <w:p w14:paraId="67886D55">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高质量建设排水达标单元，做好污水管网外水的剥离工作，提质增效——提升污水系统运行效能。</w:t>
      </w:r>
    </w:p>
    <w:p w14:paraId="730502F0">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构建厂内互为备用生产线和厂外互联互通主干管，提升城市治污韧性和包容性——降低污水溢流污染风险。</w:t>
      </w:r>
    </w:p>
    <w:p w14:paraId="479CBC71">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利用先进科技手段，构建“智慧水务”排水管理蓝图，打造供排网络一体化，创建智慧污水厂——提升管理水平。</w:t>
      </w:r>
    </w:p>
    <w:p w14:paraId="48D46E1D">
      <w:pPr>
        <w:widowControl w:val="0"/>
        <w:overflowPunct w:val="0"/>
        <w:spacing w:line="576" w:lineRule="exact"/>
        <w:ind w:firstLine="640" w:firstLineChars="200"/>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梳理城区河流水系，科学补水，不断提升城区水生态系统的环境质量，提高城区的防洪除涝能力--提升城市宜居性。</w:t>
      </w:r>
    </w:p>
    <w:p w14:paraId="66E8E8C9">
      <w:pPr>
        <w:widowControl w:val="0"/>
        <w:overflowPunct w:val="0"/>
        <w:spacing w:line="576" w:lineRule="exact"/>
        <w:ind w:firstLine="643" w:firstLineChars="200"/>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四、规划目标</w:t>
      </w:r>
    </w:p>
    <w:p w14:paraId="15918764">
      <w:pPr>
        <w:ind w:firstLine="480"/>
        <w:rPr>
          <w:rFonts w:hint="default" w:ascii="仿宋_GB2312" w:hAnsi="仿宋_GB2312" w:eastAsia="仿宋_GB2312" w:cs="仿宋_GB2312"/>
          <w:color w:val="000000" w:themeColor="text1"/>
          <w:sz w:val="32"/>
          <w:szCs w:val="32"/>
          <w:lang w:val="zh-CN"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以习近平新时代中国特色社会主义思想为指导，全面贯彻党的二十大精神及习近平生态文明思想，</w:t>
      </w:r>
      <w:r>
        <w:rPr>
          <w:rFonts w:hint="default" w:ascii="仿宋_GB2312" w:hAnsi="仿宋_GB2312" w:eastAsia="仿宋_GB2312" w:cs="仿宋_GB2312"/>
          <w:color w:val="000000" w:themeColor="text1"/>
          <w:sz w:val="32"/>
          <w:szCs w:val="32"/>
          <w:lang w:val="zh-CN" w:eastAsia="zh-CN"/>
          <w14:textFill>
            <w14:solidFill>
              <w14:schemeClr w14:val="tx1"/>
            </w14:solidFill>
          </w14:textFill>
        </w:rPr>
        <w:t>建设“安全可靠、科学合理、绿色生态、智能高效”的城市排水系统，确保水污染治理和水资源再生利用的实现，满足城市水环境的要求。</w:t>
      </w:r>
    </w:p>
    <w:p w14:paraId="48BE4D46">
      <w:pPr>
        <w:ind w:firstLine="48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建设“安全可靠、科学合理、绿色生态、智能高效”的城市排水系统，确保水污染治理和水资源再生利用的实现，满足城市水环境的要求。近期完成污水提质增效、城市排涝能力提升二大任务；远期继续完善污水、雨水和管理系统，形成高标准建设、高水平维护、智能化管理的城市排水系统。</w:t>
      </w:r>
    </w:p>
    <w:p w14:paraId="72ED40B2">
      <w:pPr>
        <w:ind w:firstLine="2643" w:firstLineChars="826"/>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规划目标体系表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767"/>
        <w:gridCol w:w="2371"/>
        <w:gridCol w:w="2659"/>
        <w:gridCol w:w="2121"/>
      </w:tblGrid>
      <w:tr w14:paraId="351E1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2" w:type="pct"/>
            <w:noWrap w:val="0"/>
            <w:vAlign w:val="top"/>
          </w:tcPr>
          <w:p w14:paraId="44D8C0C8">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编号</w:t>
            </w:r>
          </w:p>
        </w:tc>
        <w:tc>
          <w:tcPr>
            <w:tcW w:w="445" w:type="pct"/>
            <w:noWrap w:val="0"/>
            <w:vAlign w:val="top"/>
          </w:tcPr>
          <w:p w14:paraId="7314BDE6">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类别</w:t>
            </w:r>
          </w:p>
        </w:tc>
        <w:tc>
          <w:tcPr>
            <w:tcW w:w="1376" w:type="pct"/>
            <w:noWrap w:val="0"/>
            <w:vAlign w:val="top"/>
          </w:tcPr>
          <w:p w14:paraId="736902D0">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名称</w:t>
            </w:r>
          </w:p>
        </w:tc>
        <w:tc>
          <w:tcPr>
            <w:tcW w:w="1543" w:type="pct"/>
            <w:noWrap w:val="0"/>
            <w:vAlign w:val="top"/>
          </w:tcPr>
          <w:p w14:paraId="3024990B">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近期</w:t>
            </w:r>
          </w:p>
        </w:tc>
        <w:tc>
          <w:tcPr>
            <w:tcW w:w="1231" w:type="pct"/>
            <w:noWrap w:val="0"/>
            <w:vAlign w:val="top"/>
          </w:tcPr>
          <w:p w14:paraId="25C5DF90">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远期</w:t>
            </w:r>
          </w:p>
        </w:tc>
      </w:tr>
      <w:tr w14:paraId="55B07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2" w:type="pct"/>
            <w:noWrap w:val="0"/>
            <w:vAlign w:val="top"/>
          </w:tcPr>
          <w:p w14:paraId="6B3C90BF">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1</w:t>
            </w:r>
          </w:p>
        </w:tc>
        <w:tc>
          <w:tcPr>
            <w:tcW w:w="445" w:type="pct"/>
            <w:vMerge w:val="restart"/>
            <w:noWrap w:val="0"/>
            <w:vAlign w:val="top"/>
          </w:tcPr>
          <w:p w14:paraId="12CBF7D8">
            <w:pPr>
              <w:pStyle w:val="9"/>
              <w:widowControl w:val="0"/>
              <w:bidi w:val="0"/>
              <w:rPr>
                <w:rFonts w:hint="eastAsia" w:ascii="方正仿宋_GB2312" w:hAnsi="方正仿宋_GB2312" w:eastAsia="方正仿宋_GB2312" w:cs="方正仿宋_GB2312"/>
              </w:rPr>
            </w:pPr>
          </w:p>
          <w:p w14:paraId="3CFAA221">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污水</w:t>
            </w:r>
          </w:p>
        </w:tc>
        <w:tc>
          <w:tcPr>
            <w:tcW w:w="1376" w:type="pct"/>
            <w:noWrap w:val="0"/>
            <w:vAlign w:val="top"/>
          </w:tcPr>
          <w:p w14:paraId="084588DD">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 xml:space="preserve">污水处理率 </w:t>
            </w:r>
          </w:p>
        </w:tc>
        <w:tc>
          <w:tcPr>
            <w:tcW w:w="1543" w:type="pct"/>
            <w:noWrap w:val="0"/>
            <w:vAlign w:val="top"/>
          </w:tcPr>
          <w:p w14:paraId="15D390BF">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≥98%</w:t>
            </w:r>
          </w:p>
        </w:tc>
        <w:tc>
          <w:tcPr>
            <w:tcW w:w="1231" w:type="pct"/>
            <w:noWrap w:val="0"/>
            <w:vAlign w:val="top"/>
          </w:tcPr>
          <w:p w14:paraId="48BF4844">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100%</w:t>
            </w:r>
          </w:p>
        </w:tc>
      </w:tr>
      <w:tr w14:paraId="0A1ED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2" w:type="pct"/>
            <w:noWrap w:val="0"/>
            <w:vAlign w:val="top"/>
          </w:tcPr>
          <w:p w14:paraId="4CF3A60C">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2</w:t>
            </w:r>
          </w:p>
        </w:tc>
        <w:tc>
          <w:tcPr>
            <w:tcW w:w="445" w:type="pct"/>
            <w:vMerge w:val="continue"/>
            <w:noWrap w:val="0"/>
            <w:vAlign w:val="top"/>
          </w:tcPr>
          <w:p w14:paraId="0CFFF054">
            <w:pPr>
              <w:pStyle w:val="9"/>
              <w:widowControl w:val="0"/>
              <w:bidi w:val="0"/>
              <w:rPr>
                <w:rFonts w:hint="default" w:ascii="方正仿宋_GB2312" w:hAnsi="方正仿宋_GB2312" w:eastAsia="方正仿宋_GB2312" w:cs="方正仿宋_GB2312"/>
                <w:lang w:val="zh-CN"/>
              </w:rPr>
            </w:pPr>
          </w:p>
        </w:tc>
        <w:tc>
          <w:tcPr>
            <w:tcW w:w="1376" w:type="pct"/>
            <w:noWrap w:val="0"/>
            <w:vAlign w:val="top"/>
          </w:tcPr>
          <w:p w14:paraId="6289D960">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污水处理达标排放率</w:t>
            </w:r>
          </w:p>
        </w:tc>
        <w:tc>
          <w:tcPr>
            <w:tcW w:w="1543" w:type="pct"/>
            <w:noWrap w:val="0"/>
            <w:vAlign w:val="top"/>
          </w:tcPr>
          <w:p w14:paraId="45E201ED">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100%</w:t>
            </w:r>
          </w:p>
        </w:tc>
        <w:tc>
          <w:tcPr>
            <w:tcW w:w="1231" w:type="pct"/>
            <w:noWrap w:val="0"/>
            <w:vAlign w:val="top"/>
          </w:tcPr>
          <w:p w14:paraId="04925CB4">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100%</w:t>
            </w:r>
          </w:p>
        </w:tc>
      </w:tr>
      <w:tr w14:paraId="288AA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2" w:type="pct"/>
            <w:noWrap w:val="0"/>
            <w:vAlign w:val="top"/>
          </w:tcPr>
          <w:p w14:paraId="5F5FB14A">
            <w:pPr>
              <w:pStyle w:val="9"/>
              <w:widowControl w:val="0"/>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3</w:t>
            </w:r>
          </w:p>
        </w:tc>
        <w:tc>
          <w:tcPr>
            <w:tcW w:w="445" w:type="pct"/>
            <w:vMerge w:val="continue"/>
            <w:noWrap w:val="0"/>
            <w:vAlign w:val="top"/>
          </w:tcPr>
          <w:p w14:paraId="10378EC8">
            <w:pPr>
              <w:pStyle w:val="9"/>
              <w:widowControl w:val="0"/>
              <w:bidi w:val="0"/>
              <w:rPr>
                <w:rFonts w:hint="default" w:ascii="方正仿宋_GB2312" w:hAnsi="方正仿宋_GB2312" w:eastAsia="方正仿宋_GB2312" w:cs="方正仿宋_GB2312"/>
                <w:lang w:val="zh-CN"/>
              </w:rPr>
            </w:pPr>
          </w:p>
        </w:tc>
        <w:tc>
          <w:tcPr>
            <w:tcW w:w="1376" w:type="pct"/>
            <w:noWrap w:val="0"/>
            <w:vAlign w:val="top"/>
          </w:tcPr>
          <w:p w14:paraId="1090B6A5">
            <w:pPr>
              <w:pStyle w:val="9"/>
              <w:widowControl w:val="0"/>
              <w:bidi w:val="0"/>
              <w:rPr>
                <w:rFonts w:hint="eastAsia" w:ascii="方正仿宋_GB2312" w:hAnsi="方正仿宋_GB2312" w:eastAsia="方正仿宋_GB2312" w:cs="方正仿宋_GB2312"/>
              </w:rPr>
            </w:pPr>
            <w:r>
              <w:rPr>
                <w:rFonts w:hint="eastAsia" w:ascii="方正仿宋_GB2312" w:hAnsi="方正仿宋_GB2312" w:eastAsia="方正仿宋_GB2312" w:cs="方正仿宋_GB2312"/>
                <w:lang w:val="en-US" w:eastAsia="zh-CN"/>
              </w:rPr>
              <w:t>生活污水集中</w:t>
            </w:r>
            <w:r>
              <w:rPr>
                <w:rFonts w:hint="eastAsia" w:ascii="方正仿宋_GB2312" w:hAnsi="方正仿宋_GB2312" w:eastAsia="方正仿宋_GB2312" w:cs="方正仿宋_GB2312"/>
                <w:lang w:eastAsia="zh-CN"/>
              </w:rPr>
              <w:t>收集</w:t>
            </w:r>
            <w:r>
              <w:rPr>
                <w:rFonts w:hint="eastAsia" w:ascii="方正仿宋_GB2312" w:hAnsi="方正仿宋_GB2312" w:eastAsia="方正仿宋_GB2312" w:cs="方正仿宋_GB2312"/>
              </w:rPr>
              <w:t>率</w:t>
            </w:r>
          </w:p>
        </w:tc>
        <w:tc>
          <w:tcPr>
            <w:tcW w:w="1543" w:type="pct"/>
            <w:noWrap w:val="0"/>
            <w:vAlign w:val="top"/>
          </w:tcPr>
          <w:p w14:paraId="7947894F">
            <w:pPr>
              <w:pStyle w:val="9"/>
              <w:widowControl w:val="0"/>
              <w:bidi w:val="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w:t>
            </w:r>
            <w:r>
              <w:rPr>
                <w:rFonts w:hint="eastAsia" w:ascii="方正仿宋_GB2312" w:hAnsi="方正仿宋_GB2312" w:eastAsia="方正仿宋_GB2312" w:cs="方正仿宋_GB2312"/>
                <w:lang w:val="en-US" w:eastAsia="zh-CN"/>
              </w:rPr>
              <w:t>80</w:t>
            </w:r>
            <w:r>
              <w:rPr>
                <w:rFonts w:hint="eastAsia" w:ascii="方正仿宋_GB2312" w:hAnsi="方正仿宋_GB2312" w:eastAsia="方正仿宋_GB2312" w:cs="方正仿宋_GB2312"/>
              </w:rPr>
              <w:t>%</w:t>
            </w:r>
          </w:p>
        </w:tc>
        <w:tc>
          <w:tcPr>
            <w:tcW w:w="1231" w:type="pct"/>
            <w:noWrap w:val="0"/>
            <w:vAlign w:val="top"/>
          </w:tcPr>
          <w:p w14:paraId="397972B4">
            <w:pPr>
              <w:pStyle w:val="9"/>
              <w:widowControl w:val="0"/>
              <w:bidi w:val="0"/>
              <w:rPr>
                <w:rFonts w:hint="default" w:ascii="方正仿宋_GB2312" w:hAnsi="方正仿宋_GB2312" w:eastAsia="方正仿宋_GB2312" w:cs="方正仿宋_GB2312"/>
                <w:lang w:val="en-US" w:eastAsia="zh-CN"/>
              </w:rPr>
            </w:pPr>
            <w:r>
              <w:rPr>
                <w:rFonts w:hint="eastAsia" w:ascii="方正仿宋_GB2312" w:hAnsi="方正仿宋_GB2312" w:eastAsia="方正仿宋_GB2312" w:cs="方正仿宋_GB2312"/>
              </w:rPr>
              <w:t>≥</w:t>
            </w:r>
            <w:r>
              <w:rPr>
                <w:rFonts w:hint="eastAsia" w:ascii="方正仿宋_GB2312" w:hAnsi="方正仿宋_GB2312" w:eastAsia="方正仿宋_GB2312" w:cs="方正仿宋_GB2312"/>
                <w:lang w:val="en-US" w:eastAsia="zh-CN"/>
              </w:rPr>
              <w:t>85</w:t>
            </w:r>
            <w:r>
              <w:rPr>
                <w:rFonts w:hint="eastAsia" w:ascii="方正仿宋_GB2312" w:hAnsi="方正仿宋_GB2312" w:eastAsia="方正仿宋_GB2312" w:cs="方正仿宋_GB2312"/>
              </w:rPr>
              <w:t>%</w:t>
            </w:r>
          </w:p>
        </w:tc>
      </w:tr>
      <w:tr w14:paraId="6907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2" w:type="pct"/>
            <w:noWrap w:val="0"/>
            <w:vAlign w:val="top"/>
          </w:tcPr>
          <w:p w14:paraId="0B3643B5">
            <w:pPr>
              <w:pStyle w:val="9"/>
              <w:widowControl w:val="0"/>
              <w:bidi w:val="0"/>
              <w:rPr>
                <w:rFonts w:hint="eastAsia" w:ascii="方正仿宋_GB2312" w:hAnsi="方正仿宋_GB2312" w:eastAsia="方正仿宋_GB2312" w:cs="方正仿宋_GB2312"/>
                <w:lang w:val="zh-CN" w:eastAsia="zh-CN"/>
              </w:rPr>
            </w:pPr>
            <w:r>
              <w:rPr>
                <w:rFonts w:hint="eastAsia" w:ascii="方正仿宋_GB2312" w:hAnsi="方正仿宋_GB2312" w:eastAsia="方正仿宋_GB2312" w:cs="方正仿宋_GB2312"/>
                <w:lang w:val="en-US" w:eastAsia="zh-CN"/>
              </w:rPr>
              <w:t>4</w:t>
            </w:r>
          </w:p>
        </w:tc>
        <w:tc>
          <w:tcPr>
            <w:tcW w:w="445" w:type="pct"/>
            <w:noWrap w:val="0"/>
            <w:vAlign w:val="top"/>
          </w:tcPr>
          <w:p w14:paraId="5A826B52">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污泥</w:t>
            </w:r>
          </w:p>
        </w:tc>
        <w:tc>
          <w:tcPr>
            <w:tcW w:w="1376" w:type="pct"/>
            <w:noWrap w:val="0"/>
            <w:vAlign w:val="top"/>
          </w:tcPr>
          <w:p w14:paraId="5DD86074">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污泥安全处置率</w:t>
            </w:r>
          </w:p>
        </w:tc>
        <w:tc>
          <w:tcPr>
            <w:tcW w:w="1543" w:type="pct"/>
            <w:noWrap w:val="0"/>
            <w:vAlign w:val="top"/>
          </w:tcPr>
          <w:p w14:paraId="3BBB3772">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100%</w:t>
            </w:r>
          </w:p>
        </w:tc>
        <w:tc>
          <w:tcPr>
            <w:tcW w:w="1231" w:type="pct"/>
            <w:noWrap w:val="0"/>
            <w:vAlign w:val="top"/>
          </w:tcPr>
          <w:p w14:paraId="63373E99">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lang w:val="en-US" w:eastAsia="zh-CN"/>
              </w:rPr>
              <w:t>1</w:t>
            </w:r>
            <w:r>
              <w:rPr>
                <w:rFonts w:hint="eastAsia" w:ascii="方正仿宋_GB2312" w:hAnsi="方正仿宋_GB2312" w:eastAsia="方正仿宋_GB2312" w:cs="方正仿宋_GB2312"/>
              </w:rPr>
              <w:t>00%</w:t>
            </w:r>
          </w:p>
        </w:tc>
      </w:tr>
      <w:tr w14:paraId="5FFA4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2" w:type="pct"/>
            <w:noWrap w:val="0"/>
            <w:vAlign w:val="top"/>
          </w:tcPr>
          <w:p w14:paraId="66F41282">
            <w:pPr>
              <w:pStyle w:val="9"/>
              <w:widowControl w:val="0"/>
              <w:bidi w:val="0"/>
              <w:rPr>
                <w:rFonts w:hint="eastAsia" w:ascii="方正仿宋_GB2312" w:hAnsi="方正仿宋_GB2312" w:eastAsia="方正仿宋_GB2312" w:cs="方正仿宋_GB2312"/>
                <w:lang w:val="zh-CN" w:eastAsia="zh-CN"/>
              </w:rPr>
            </w:pPr>
            <w:r>
              <w:rPr>
                <w:rFonts w:hint="eastAsia" w:ascii="方正仿宋_GB2312" w:hAnsi="方正仿宋_GB2312" w:eastAsia="方正仿宋_GB2312" w:cs="方正仿宋_GB2312"/>
                <w:lang w:val="en-US" w:eastAsia="zh-CN"/>
              </w:rPr>
              <w:t>5</w:t>
            </w:r>
          </w:p>
        </w:tc>
        <w:tc>
          <w:tcPr>
            <w:tcW w:w="445" w:type="pct"/>
            <w:vMerge w:val="restart"/>
            <w:noWrap w:val="0"/>
            <w:vAlign w:val="top"/>
          </w:tcPr>
          <w:p w14:paraId="3C17471C">
            <w:pPr>
              <w:pStyle w:val="9"/>
              <w:widowControl w:val="0"/>
              <w:bidi w:val="0"/>
              <w:rPr>
                <w:rFonts w:hint="eastAsia" w:ascii="方正仿宋_GB2312" w:hAnsi="方正仿宋_GB2312" w:eastAsia="方正仿宋_GB2312" w:cs="方正仿宋_GB2312"/>
              </w:rPr>
            </w:pPr>
          </w:p>
          <w:p w14:paraId="7808A52C">
            <w:pPr>
              <w:pStyle w:val="9"/>
              <w:widowControl w:val="0"/>
              <w:bidi w:val="0"/>
              <w:rPr>
                <w:rFonts w:hint="eastAsia" w:ascii="方正仿宋_GB2312" w:hAnsi="方正仿宋_GB2312" w:eastAsia="方正仿宋_GB2312" w:cs="方正仿宋_GB2312"/>
              </w:rPr>
            </w:pPr>
          </w:p>
          <w:p w14:paraId="3ABF1996">
            <w:pPr>
              <w:pStyle w:val="9"/>
              <w:widowControl w:val="0"/>
              <w:bidi w:val="0"/>
              <w:rPr>
                <w:rFonts w:hint="eastAsia" w:ascii="方正仿宋_GB2312" w:hAnsi="方正仿宋_GB2312" w:eastAsia="方正仿宋_GB2312" w:cs="方正仿宋_GB2312"/>
              </w:rPr>
            </w:pPr>
          </w:p>
          <w:p w14:paraId="4E043542">
            <w:pPr>
              <w:pStyle w:val="9"/>
              <w:widowControl w:val="0"/>
              <w:bidi w:val="0"/>
              <w:rPr>
                <w:rFonts w:hint="eastAsia" w:ascii="方正仿宋_GB2312" w:hAnsi="方正仿宋_GB2312" w:eastAsia="方正仿宋_GB2312" w:cs="方正仿宋_GB2312"/>
              </w:rPr>
            </w:pPr>
          </w:p>
          <w:p w14:paraId="2CA5A059">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雨水</w:t>
            </w:r>
          </w:p>
        </w:tc>
        <w:tc>
          <w:tcPr>
            <w:tcW w:w="1376" w:type="pct"/>
            <w:noWrap w:val="0"/>
            <w:vAlign w:val="top"/>
          </w:tcPr>
          <w:p w14:paraId="39675956">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年径流总量控制率</w:t>
            </w:r>
          </w:p>
        </w:tc>
        <w:tc>
          <w:tcPr>
            <w:tcW w:w="1543" w:type="pct"/>
            <w:noWrap w:val="0"/>
            <w:vAlign w:val="top"/>
          </w:tcPr>
          <w:p w14:paraId="5ADCC5C1">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75%</w:t>
            </w:r>
          </w:p>
        </w:tc>
        <w:tc>
          <w:tcPr>
            <w:tcW w:w="1231" w:type="pct"/>
            <w:noWrap w:val="0"/>
            <w:vAlign w:val="top"/>
          </w:tcPr>
          <w:p w14:paraId="39198965">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75%</w:t>
            </w:r>
          </w:p>
        </w:tc>
      </w:tr>
      <w:tr w14:paraId="16A8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2" w:type="pct"/>
            <w:noWrap w:val="0"/>
            <w:vAlign w:val="top"/>
          </w:tcPr>
          <w:p w14:paraId="3D1EAD9B">
            <w:pPr>
              <w:pStyle w:val="9"/>
              <w:widowControl w:val="0"/>
              <w:bidi w:val="0"/>
              <w:rPr>
                <w:rFonts w:hint="eastAsia" w:ascii="方正仿宋_GB2312" w:hAnsi="方正仿宋_GB2312" w:eastAsia="方正仿宋_GB2312" w:cs="方正仿宋_GB2312"/>
                <w:lang w:val="zh-CN" w:eastAsia="zh-CN"/>
              </w:rPr>
            </w:pPr>
            <w:r>
              <w:rPr>
                <w:rFonts w:hint="eastAsia" w:ascii="方正仿宋_GB2312" w:hAnsi="方正仿宋_GB2312" w:eastAsia="方正仿宋_GB2312" w:cs="方正仿宋_GB2312"/>
                <w:lang w:val="en-US" w:eastAsia="zh-CN"/>
              </w:rPr>
              <w:t>6</w:t>
            </w:r>
          </w:p>
        </w:tc>
        <w:tc>
          <w:tcPr>
            <w:tcW w:w="445" w:type="pct"/>
            <w:vMerge w:val="continue"/>
            <w:noWrap w:val="0"/>
            <w:vAlign w:val="top"/>
          </w:tcPr>
          <w:p w14:paraId="4AA73F65">
            <w:pPr>
              <w:pStyle w:val="9"/>
              <w:widowControl w:val="0"/>
              <w:bidi w:val="0"/>
              <w:rPr>
                <w:rFonts w:hint="default" w:ascii="方正仿宋_GB2312" w:hAnsi="方正仿宋_GB2312" w:eastAsia="方正仿宋_GB2312" w:cs="方正仿宋_GB2312"/>
                <w:lang w:val="zh-CN"/>
              </w:rPr>
            </w:pPr>
          </w:p>
        </w:tc>
        <w:tc>
          <w:tcPr>
            <w:tcW w:w="1376" w:type="pct"/>
            <w:noWrap w:val="0"/>
            <w:vAlign w:val="top"/>
          </w:tcPr>
          <w:p w14:paraId="02696367">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内涝防治设计重现期</w:t>
            </w:r>
          </w:p>
        </w:tc>
        <w:tc>
          <w:tcPr>
            <w:tcW w:w="1543" w:type="pct"/>
            <w:noWrap w:val="0"/>
            <w:vAlign w:val="top"/>
          </w:tcPr>
          <w:p w14:paraId="025F5AD1">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20</w:t>
            </w:r>
          </w:p>
        </w:tc>
        <w:tc>
          <w:tcPr>
            <w:tcW w:w="1231" w:type="pct"/>
            <w:noWrap w:val="0"/>
            <w:vAlign w:val="top"/>
          </w:tcPr>
          <w:p w14:paraId="4E154298">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20</w:t>
            </w:r>
          </w:p>
        </w:tc>
      </w:tr>
      <w:tr w14:paraId="36D2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2" w:type="pct"/>
            <w:noWrap w:val="0"/>
            <w:vAlign w:val="top"/>
          </w:tcPr>
          <w:p w14:paraId="4CF41D31">
            <w:pPr>
              <w:pStyle w:val="9"/>
              <w:widowControl w:val="0"/>
              <w:bidi w:val="0"/>
              <w:rPr>
                <w:rFonts w:hint="eastAsia" w:ascii="方正仿宋_GB2312" w:hAnsi="方正仿宋_GB2312" w:eastAsia="方正仿宋_GB2312" w:cs="方正仿宋_GB2312"/>
                <w:lang w:val="zh-CN" w:eastAsia="zh-CN"/>
              </w:rPr>
            </w:pPr>
            <w:r>
              <w:rPr>
                <w:rFonts w:hint="eastAsia" w:ascii="方正仿宋_GB2312" w:hAnsi="方正仿宋_GB2312" w:eastAsia="方正仿宋_GB2312" w:cs="方正仿宋_GB2312"/>
                <w:lang w:val="en-US" w:eastAsia="zh-CN"/>
              </w:rPr>
              <w:t>7</w:t>
            </w:r>
          </w:p>
        </w:tc>
        <w:tc>
          <w:tcPr>
            <w:tcW w:w="445" w:type="pct"/>
            <w:vMerge w:val="continue"/>
            <w:noWrap w:val="0"/>
            <w:vAlign w:val="top"/>
          </w:tcPr>
          <w:p w14:paraId="541B7133">
            <w:pPr>
              <w:pStyle w:val="9"/>
              <w:widowControl w:val="0"/>
              <w:bidi w:val="0"/>
              <w:rPr>
                <w:rFonts w:hint="default" w:ascii="方正仿宋_GB2312" w:hAnsi="方正仿宋_GB2312" w:eastAsia="方正仿宋_GB2312" w:cs="方正仿宋_GB2312"/>
                <w:lang w:val="zh-CN"/>
              </w:rPr>
            </w:pPr>
          </w:p>
        </w:tc>
        <w:tc>
          <w:tcPr>
            <w:tcW w:w="1376" w:type="pct"/>
            <w:noWrap w:val="0"/>
            <w:vAlign w:val="top"/>
          </w:tcPr>
          <w:p w14:paraId="6ED8BD2F">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积水点消除比例</w:t>
            </w:r>
          </w:p>
        </w:tc>
        <w:tc>
          <w:tcPr>
            <w:tcW w:w="1543" w:type="pct"/>
            <w:noWrap w:val="0"/>
            <w:vAlign w:val="top"/>
          </w:tcPr>
          <w:p w14:paraId="372E32CE">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100%</w:t>
            </w:r>
          </w:p>
        </w:tc>
        <w:tc>
          <w:tcPr>
            <w:tcW w:w="1231" w:type="pct"/>
            <w:noWrap w:val="0"/>
            <w:vAlign w:val="top"/>
          </w:tcPr>
          <w:p w14:paraId="1D166F3C">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100%</w:t>
            </w:r>
          </w:p>
        </w:tc>
      </w:tr>
      <w:tr w14:paraId="0A681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2" w:type="pct"/>
            <w:noWrap w:val="0"/>
            <w:vAlign w:val="top"/>
          </w:tcPr>
          <w:p w14:paraId="0A54A72D">
            <w:pPr>
              <w:pStyle w:val="9"/>
              <w:widowControl w:val="0"/>
              <w:bidi w:val="0"/>
              <w:rPr>
                <w:rFonts w:hint="eastAsia" w:ascii="方正仿宋_GB2312" w:hAnsi="方正仿宋_GB2312" w:eastAsia="方正仿宋_GB2312" w:cs="方正仿宋_GB2312"/>
                <w:lang w:val="zh-CN" w:eastAsia="zh-CN"/>
              </w:rPr>
            </w:pPr>
            <w:r>
              <w:rPr>
                <w:rFonts w:hint="eastAsia" w:ascii="方正仿宋_GB2312" w:hAnsi="方正仿宋_GB2312" w:eastAsia="方正仿宋_GB2312" w:cs="方正仿宋_GB2312"/>
                <w:lang w:val="en-US" w:eastAsia="zh-CN"/>
              </w:rPr>
              <w:t>8</w:t>
            </w:r>
          </w:p>
        </w:tc>
        <w:tc>
          <w:tcPr>
            <w:tcW w:w="445" w:type="pct"/>
            <w:vMerge w:val="continue"/>
            <w:noWrap w:val="0"/>
            <w:vAlign w:val="top"/>
          </w:tcPr>
          <w:p w14:paraId="1D497BF0">
            <w:pPr>
              <w:pStyle w:val="9"/>
              <w:widowControl w:val="0"/>
              <w:bidi w:val="0"/>
              <w:rPr>
                <w:rFonts w:hint="default" w:ascii="方正仿宋_GB2312" w:hAnsi="方正仿宋_GB2312" w:eastAsia="方正仿宋_GB2312" w:cs="方正仿宋_GB2312"/>
                <w:lang w:val="zh-CN"/>
              </w:rPr>
            </w:pPr>
          </w:p>
        </w:tc>
        <w:tc>
          <w:tcPr>
            <w:tcW w:w="1376" w:type="pct"/>
            <w:noWrap w:val="0"/>
            <w:vAlign w:val="top"/>
          </w:tcPr>
          <w:p w14:paraId="745252DE">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雨水管道重现期</w:t>
            </w:r>
          </w:p>
        </w:tc>
        <w:tc>
          <w:tcPr>
            <w:tcW w:w="1543" w:type="pct"/>
            <w:noWrap w:val="0"/>
            <w:vAlign w:val="top"/>
          </w:tcPr>
          <w:p w14:paraId="431C36B8">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w:t>
            </w:r>
            <w:r>
              <w:rPr>
                <w:rFonts w:hint="eastAsia" w:ascii="方正仿宋_GB2312" w:hAnsi="方正仿宋_GB2312" w:eastAsia="方正仿宋_GB2312" w:cs="方正仿宋_GB2312"/>
                <w:lang w:val="en-US" w:eastAsia="zh-CN"/>
              </w:rPr>
              <w:t>1</w:t>
            </w:r>
            <w:r>
              <w:rPr>
                <w:rFonts w:hint="eastAsia" w:ascii="方正仿宋_GB2312" w:hAnsi="方正仿宋_GB2312" w:eastAsia="方正仿宋_GB2312" w:cs="方正仿宋_GB2312"/>
              </w:rPr>
              <w:t>-</w:t>
            </w:r>
            <w:r>
              <w:rPr>
                <w:rFonts w:hint="eastAsia" w:ascii="方正仿宋_GB2312" w:hAnsi="方正仿宋_GB2312" w:eastAsia="方正仿宋_GB2312" w:cs="方正仿宋_GB2312"/>
                <w:lang w:val="en-US" w:eastAsia="zh-CN"/>
              </w:rPr>
              <w:t>2</w:t>
            </w:r>
            <w:r>
              <w:rPr>
                <w:rFonts w:hint="eastAsia" w:ascii="方正仿宋_GB2312" w:hAnsi="方正仿宋_GB2312" w:eastAsia="方正仿宋_GB2312" w:cs="方正仿宋_GB2312"/>
              </w:rPr>
              <w:t>年一遇</w:t>
            </w:r>
          </w:p>
        </w:tc>
        <w:tc>
          <w:tcPr>
            <w:tcW w:w="1231" w:type="pct"/>
            <w:noWrap w:val="0"/>
            <w:vAlign w:val="top"/>
          </w:tcPr>
          <w:p w14:paraId="1FBB3BC3">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≥2-5年一遇</w:t>
            </w:r>
          </w:p>
        </w:tc>
      </w:tr>
      <w:tr w14:paraId="3262A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2" w:type="pct"/>
            <w:noWrap w:val="0"/>
            <w:vAlign w:val="top"/>
          </w:tcPr>
          <w:p w14:paraId="390A0CBD">
            <w:pPr>
              <w:pStyle w:val="9"/>
              <w:widowControl w:val="0"/>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9</w:t>
            </w:r>
          </w:p>
        </w:tc>
        <w:tc>
          <w:tcPr>
            <w:tcW w:w="445" w:type="pct"/>
            <w:vMerge w:val="continue"/>
            <w:noWrap w:val="0"/>
            <w:vAlign w:val="top"/>
          </w:tcPr>
          <w:p w14:paraId="12EF55BC">
            <w:pPr>
              <w:pStyle w:val="9"/>
              <w:widowControl w:val="0"/>
              <w:bidi w:val="0"/>
              <w:rPr>
                <w:rFonts w:hint="default" w:ascii="方正仿宋_GB2312" w:hAnsi="方正仿宋_GB2312" w:eastAsia="方正仿宋_GB2312" w:cs="方正仿宋_GB2312"/>
                <w:lang w:val="zh-CN"/>
              </w:rPr>
            </w:pPr>
          </w:p>
        </w:tc>
        <w:tc>
          <w:tcPr>
            <w:tcW w:w="1376" w:type="pct"/>
            <w:noWrap w:val="0"/>
            <w:vAlign w:val="top"/>
          </w:tcPr>
          <w:p w14:paraId="382865AD">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雨水泵站重现期</w:t>
            </w:r>
          </w:p>
        </w:tc>
        <w:tc>
          <w:tcPr>
            <w:tcW w:w="1543" w:type="pct"/>
            <w:noWrap w:val="0"/>
            <w:vAlign w:val="top"/>
          </w:tcPr>
          <w:p w14:paraId="17CF61DC">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5-10年一遇</w:t>
            </w:r>
          </w:p>
        </w:tc>
        <w:tc>
          <w:tcPr>
            <w:tcW w:w="1231" w:type="pct"/>
            <w:noWrap w:val="0"/>
            <w:vAlign w:val="top"/>
          </w:tcPr>
          <w:p w14:paraId="25E04F79">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w:t>
            </w:r>
            <w:r>
              <w:rPr>
                <w:rFonts w:hint="eastAsia" w:ascii="方正仿宋_GB2312" w:hAnsi="方正仿宋_GB2312" w:eastAsia="方正仿宋_GB2312" w:cs="方正仿宋_GB2312"/>
                <w:lang w:val="en-US" w:eastAsia="zh-CN"/>
              </w:rPr>
              <w:t>20</w:t>
            </w:r>
            <w:r>
              <w:rPr>
                <w:rFonts w:hint="eastAsia" w:ascii="方正仿宋_GB2312" w:hAnsi="方正仿宋_GB2312" w:eastAsia="方正仿宋_GB2312" w:cs="方正仿宋_GB2312"/>
              </w:rPr>
              <w:t>年一遇</w:t>
            </w:r>
          </w:p>
        </w:tc>
      </w:tr>
      <w:tr w14:paraId="1C27E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2" w:type="pct"/>
            <w:noWrap w:val="0"/>
            <w:vAlign w:val="top"/>
          </w:tcPr>
          <w:p w14:paraId="410511AE">
            <w:pPr>
              <w:pStyle w:val="9"/>
              <w:widowControl w:val="0"/>
              <w:bidi w:val="0"/>
              <w:rPr>
                <w:rFonts w:hint="default"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10</w:t>
            </w:r>
          </w:p>
        </w:tc>
        <w:tc>
          <w:tcPr>
            <w:tcW w:w="445" w:type="pct"/>
            <w:vMerge w:val="continue"/>
            <w:noWrap w:val="0"/>
            <w:vAlign w:val="top"/>
          </w:tcPr>
          <w:p w14:paraId="7C8C2DDC">
            <w:pPr>
              <w:pStyle w:val="9"/>
              <w:widowControl w:val="0"/>
              <w:bidi w:val="0"/>
              <w:rPr>
                <w:rFonts w:hint="default" w:ascii="方正仿宋_GB2312" w:hAnsi="方正仿宋_GB2312" w:eastAsia="方正仿宋_GB2312" w:cs="方正仿宋_GB2312"/>
                <w:lang w:val="zh-CN"/>
              </w:rPr>
            </w:pPr>
          </w:p>
        </w:tc>
        <w:tc>
          <w:tcPr>
            <w:tcW w:w="1376" w:type="pct"/>
            <w:noWrap w:val="0"/>
            <w:vAlign w:val="top"/>
          </w:tcPr>
          <w:p w14:paraId="6F427D8A">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初期雨水治理</w:t>
            </w:r>
          </w:p>
        </w:tc>
        <w:tc>
          <w:tcPr>
            <w:tcW w:w="1543" w:type="pct"/>
            <w:noWrap w:val="0"/>
            <w:vAlign w:val="top"/>
          </w:tcPr>
          <w:p w14:paraId="0A1D61CB">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初步开展</w:t>
            </w:r>
          </w:p>
        </w:tc>
        <w:tc>
          <w:tcPr>
            <w:tcW w:w="1231" w:type="pct"/>
            <w:noWrap w:val="0"/>
            <w:vAlign w:val="top"/>
          </w:tcPr>
          <w:p w14:paraId="09C72052">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lang w:val="en-US" w:eastAsia="zh-CN"/>
              </w:rPr>
              <w:t>逐步</w:t>
            </w:r>
            <w:r>
              <w:rPr>
                <w:rFonts w:hint="eastAsia" w:ascii="方正仿宋_GB2312" w:hAnsi="方正仿宋_GB2312" w:eastAsia="方正仿宋_GB2312" w:cs="方正仿宋_GB2312"/>
              </w:rPr>
              <w:t>完善</w:t>
            </w:r>
          </w:p>
        </w:tc>
      </w:tr>
      <w:tr w14:paraId="7842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2" w:type="pct"/>
            <w:noWrap w:val="0"/>
            <w:vAlign w:val="top"/>
          </w:tcPr>
          <w:p w14:paraId="1F687050">
            <w:pPr>
              <w:pStyle w:val="9"/>
              <w:widowControl w:val="0"/>
              <w:bidi w:val="0"/>
              <w:rPr>
                <w:rFonts w:hint="default"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11</w:t>
            </w:r>
          </w:p>
        </w:tc>
        <w:tc>
          <w:tcPr>
            <w:tcW w:w="445" w:type="pct"/>
            <w:noWrap w:val="0"/>
            <w:vAlign w:val="top"/>
          </w:tcPr>
          <w:p w14:paraId="7418DB51">
            <w:pPr>
              <w:pStyle w:val="9"/>
              <w:widowControl w:val="0"/>
              <w:bidi w:val="0"/>
              <w:rPr>
                <w:rFonts w:hint="eastAsia" w:ascii="方正仿宋_GB2312" w:hAnsi="方正仿宋_GB2312" w:eastAsia="方正仿宋_GB2312" w:cs="方正仿宋_GB2312"/>
                <w:lang w:val="zh-CN" w:eastAsia="zh-CN"/>
              </w:rPr>
            </w:pPr>
            <w:r>
              <w:rPr>
                <w:rFonts w:hint="eastAsia" w:ascii="方正仿宋_GB2312" w:hAnsi="方正仿宋_GB2312" w:eastAsia="方正仿宋_GB2312" w:cs="方正仿宋_GB2312"/>
                <w:lang w:val="en-US" w:eastAsia="zh-CN"/>
              </w:rPr>
              <w:t>再生水</w:t>
            </w:r>
          </w:p>
        </w:tc>
        <w:tc>
          <w:tcPr>
            <w:tcW w:w="1376" w:type="pct"/>
            <w:noWrap w:val="0"/>
            <w:vAlign w:val="top"/>
          </w:tcPr>
          <w:p w14:paraId="6F7B75A7">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lang w:val="en-US" w:eastAsia="zh-CN"/>
              </w:rPr>
              <w:t>再生水回</w:t>
            </w:r>
            <w:r>
              <w:rPr>
                <w:rFonts w:hint="eastAsia" w:ascii="方正仿宋_GB2312" w:hAnsi="方正仿宋_GB2312" w:eastAsia="方正仿宋_GB2312" w:cs="方正仿宋_GB2312"/>
                <w:lang w:val="zh-CN"/>
              </w:rPr>
              <w:t>用率</w:t>
            </w:r>
          </w:p>
        </w:tc>
        <w:tc>
          <w:tcPr>
            <w:tcW w:w="1543" w:type="pct"/>
            <w:noWrap w:val="0"/>
            <w:vAlign w:val="top"/>
          </w:tcPr>
          <w:p w14:paraId="4C514027">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w:t>
            </w:r>
            <w:r>
              <w:rPr>
                <w:rFonts w:hint="eastAsia" w:ascii="方正仿宋_GB2312" w:hAnsi="方正仿宋_GB2312" w:eastAsia="方正仿宋_GB2312" w:cs="方正仿宋_GB2312"/>
                <w:lang w:val="en-US" w:eastAsia="zh-CN"/>
              </w:rPr>
              <w:t>30</w:t>
            </w:r>
            <w:r>
              <w:rPr>
                <w:rFonts w:hint="eastAsia" w:ascii="方正仿宋_GB2312" w:hAnsi="方正仿宋_GB2312" w:eastAsia="方正仿宋_GB2312" w:cs="方正仿宋_GB2312"/>
              </w:rPr>
              <w:t>%</w:t>
            </w:r>
          </w:p>
        </w:tc>
        <w:tc>
          <w:tcPr>
            <w:tcW w:w="1231" w:type="pct"/>
            <w:noWrap w:val="0"/>
            <w:vAlign w:val="top"/>
          </w:tcPr>
          <w:p w14:paraId="3D64C111">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w:t>
            </w:r>
            <w:r>
              <w:rPr>
                <w:rFonts w:hint="eastAsia" w:ascii="方正仿宋_GB2312" w:hAnsi="方正仿宋_GB2312" w:eastAsia="方正仿宋_GB2312" w:cs="方正仿宋_GB2312"/>
                <w:lang w:val="en-US" w:eastAsia="zh-CN"/>
              </w:rPr>
              <w:t>50</w:t>
            </w:r>
            <w:r>
              <w:rPr>
                <w:rFonts w:hint="eastAsia" w:ascii="方正仿宋_GB2312" w:hAnsi="方正仿宋_GB2312" w:eastAsia="方正仿宋_GB2312" w:cs="方正仿宋_GB2312"/>
              </w:rPr>
              <w:t>%</w:t>
            </w:r>
          </w:p>
        </w:tc>
      </w:tr>
      <w:tr w14:paraId="62707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2" w:type="pct"/>
            <w:noWrap w:val="0"/>
            <w:vAlign w:val="top"/>
          </w:tcPr>
          <w:p w14:paraId="3A2214EC">
            <w:pPr>
              <w:pStyle w:val="9"/>
              <w:widowControl w:val="0"/>
              <w:bidi w:val="0"/>
              <w:rPr>
                <w:rFonts w:hint="default"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12</w:t>
            </w:r>
          </w:p>
        </w:tc>
        <w:tc>
          <w:tcPr>
            <w:tcW w:w="445" w:type="pct"/>
            <w:vMerge w:val="restart"/>
            <w:noWrap w:val="0"/>
            <w:vAlign w:val="top"/>
          </w:tcPr>
          <w:p w14:paraId="55D58B5F">
            <w:pPr>
              <w:pStyle w:val="9"/>
              <w:widowControl w:val="0"/>
              <w:bidi w:val="0"/>
              <w:rPr>
                <w:rFonts w:hint="eastAsia" w:ascii="方正仿宋_GB2312" w:hAnsi="方正仿宋_GB2312" w:eastAsia="方正仿宋_GB2312" w:cs="方正仿宋_GB2312"/>
              </w:rPr>
            </w:pPr>
          </w:p>
          <w:p w14:paraId="2AA7DF2E">
            <w:pPr>
              <w:pStyle w:val="9"/>
              <w:widowControl w:val="0"/>
              <w:bidi w:val="0"/>
              <w:rPr>
                <w:rFonts w:hint="eastAsia" w:ascii="方正仿宋_GB2312" w:hAnsi="方正仿宋_GB2312" w:eastAsia="方正仿宋_GB2312" w:cs="方正仿宋_GB2312"/>
                <w:lang w:val="zh-CN"/>
              </w:rPr>
            </w:pPr>
            <w:r>
              <w:rPr>
                <w:rFonts w:hint="eastAsia" w:ascii="方正仿宋_GB2312" w:hAnsi="方正仿宋_GB2312" w:eastAsia="方正仿宋_GB2312" w:cs="方正仿宋_GB2312"/>
              </w:rPr>
              <w:t>管理</w:t>
            </w:r>
          </w:p>
        </w:tc>
        <w:tc>
          <w:tcPr>
            <w:tcW w:w="1376" w:type="pct"/>
            <w:noWrap w:val="0"/>
            <w:vAlign w:val="top"/>
          </w:tcPr>
          <w:p w14:paraId="073D7DDD">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管理维护制度</w:t>
            </w:r>
          </w:p>
        </w:tc>
        <w:tc>
          <w:tcPr>
            <w:tcW w:w="1543" w:type="pct"/>
            <w:noWrap w:val="0"/>
            <w:vAlign w:val="top"/>
          </w:tcPr>
          <w:p w14:paraId="2F84AE17">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较完善的管网维护制度</w:t>
            </w:r>
          </w:p>
        </w:tc>
        <w:tc>
          <w:tcPr>
            <w:tcW w:w="1231" w:type="pct"/>
            <w:noWrap w:val="0"/>
            <w:vAlign w:val="top"/>
          </w:tcPr>
          <w:p w14:paraId="53CC1FCD">
            <w:pPr>
              <w:pStyle w:val="9"/>
              <w:widowControl w:val="0"/>
              <w:bidi w:val="0"/>
              <w:rPr>
                <w:rFonts w:hint="default" w:ascii="方正仿宋_GB2312" w:hAnsi="方正仿宋_GB2312" w:eastAsia="方正仿宋_GB2312" w:cs="方正仿宋_GB2312"/>
                <w:lang w:val="zh-CN"/>
              </w:rPr>
            </w:pPr>
            <w:r>
              <w:rPr>
                <w:rFonts w:hint="eastAsia" w:ascii="方正仿宋_GB2312" w:hAnsi="方正仿宋_GB2312" w:eastAsia="方正仿宋_GB2312" w:cs="方正仿宋_GB2312"/>
              </w:rPr>
              <w:t>推进厂网一体化</w:t>
            </w:r>
          </w:p>
        </w:tc>
      </w:tr>
      <w:tr w14:paraId="36628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2" w:type="pct"/>
            <w:noWrap w:val="0"/>
            <w:vAlign w:val="top"/>
          </w:tcPr>
          <w:p w14:paraId="27B2B9A8">
            <w:pPr>
              <w:pStyle w:val="9"/>
              <w:widowControl w:val="0"/>
              <w:bidi w:val="0"/>
              <w:rPr>
                <w:rFonts w:hint="default"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13</w:t>
            </w:r>
          </w:p>
        </w:tc>
        <w:tc>
          <w:tcPr>
            <w:tcW w:w="445" w:type="pct"/>
            <w:vMerge w:val="continue"/>
            <w:noWrap w:val="0"/>
            <w:vAlign w:val="top"/>
          </w:tcPr>
          <w:p w14:paraId="6DA04E97">
            <w:pPr>
              <w:pStyle w:val="9"/>
              <w:widowControl w:val="0"/>
              <w:bidi w:val="0"/>
              <w:rPr>
                <w:rFonts w:hint="eastAsia" w:ascii="方正仿宋_GB2312" w:hAnsi="方正仿宋_GB2312" w:eastAsia="方正仿宋_GB2312" w:cs="方正仿宋_GB2312"/>
              </w:rPr>
            </w:pPr>
          </w:p>
        </w:tc>
        <w:tc>
          <w:tcPr>
            <w:tcW w:w="1376" w:type="pct"/>
            <w:noWrap w:val="0"/>
            <w:vAlign w:val="top"/>
          </w:tcPr>
          <w:p w14:paraId="14B33825">
            <w:pPr>
              <w:pStyle w:val="9"/>
              <w:widowControl w:val="0"/>
              <w:bidi w:val="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智慧排水系统</w:t>
            </w:r>
          </w:p>
        </w:tc>
        <w:tc>
          <w:tcPr>
            <w:tcW w:w="1543" w:type="pct"/>
            <w:noWrap w:val="0"/>
            <w:vAlign w:val="top"/>
          </w:tcPr>
          <w:p w14:paraId="6F3E1BAD">
            <w:pPr>
              <w:pStyle w:val="9"/>
              <w:widowControl w:val="0"/>
              <w:bidi w:val="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建立智慧排水平台</w:t>
            </w:r>
          </w:p>
        </w:tc>
        <w:tc>
          <w:tcPr>
            <w:tcW w:w="1231" w:type="pct"/>
            <w:noWrap w:val="0"/>
            <w:vAlign w:val="top"/>
          </w:tcPr>
          <w:p w14:paraId="764C5694">
            <w:pPr>
              <w:pStyle w:val="9"/>
              <w:widowControl w:val="0"/>
              <w:bidi w:val="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完善智慧排水系统</w:t>
            </w:r>
          </w:p>
        </w:tc>
      </w:tr>
    </w:tbl>
    <w:p w14:paraId="4C82B452">
      <w:pPr>
        <w:widowControl w:val="0"/>
        <w:overflowPunct w:val="0"/>
        <w:spacing w:line="576" w:lineRule="exact"/>
        <w:ind w:firstLine="643" w:firstLineChars="200"/>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五</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规划主要内容</w:t>
      </w:r>
    </w:p>
    <w:p w14:paraId="75693E54">
      <w:pPr>
        <w:widowControl w:val="0"/>
        <w:overflowPunct w:val="0"/>
        <w:spacing w:line="576" w:lineRule="exact"/>
        <w:ind w:firstLine="643" w:firstLineChars="200"/>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1、现状排水系统分析</w:t>
      </w:r>
    </w:p>
    <w:p w14:paraId="5EBADB70">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收集梳理现状排水体制概况，了解排水管道布置走向，管道末端水体去处。</w:t>
      </w:r>
    </w:p>
    <w:p w14:paraId="6A686CD4">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污水方面：主要收集梳理现状、在建及拟建污水厂、污水泵站、污水管网、污泥处理处置等资料，梳理现状排水体制等概况，并对运行情况进行复核评估，分析存在问题。</w:t>
      </w:r>
    </w:p>
    <w:p w14:paraId="67702E65">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雨水方面：主要收集梳理现状、在建及拟建雨水管渠、排涝泵站、水闸、现状内涝点等资料，复核评估现状管渠排水标准，分析内涝点成因。</w:t>
      </w:r>
    </w:p>
    <w:p w14:paraId="291F2469">
      <w:pPr>
        <w:widowControl w:val="0"/>
        <w:overflowPunct w:val="0"/>
        <w:spacing w:line="576" w:lineRule="exact"/>
        <w:ind w:firstLine="640" w:firstLineChars="200"/>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水系方面：</w:t>
      </w:r>
      <w:r>
        <w:rPr>
          <w:rFonts w:hint="eastAsia" w:ascii="仿宋_GB2312" w:hAnsi="仿宋_GB2312" w:eastAsia="仿宋_GB2312" w:cs="仿宋_GB2312"/>
          <w:color w:val="000000" w:themeColor="text1"/>
          <w:sz w:val="32"/>
          <w:szCs w:val="32"/>
          <w:lang w:val="zh-CN"/>
          <w14:textFill>
            <w14:solidFill>
              <w14:schemeClr w14:val="tx1"/>
            </w14:solidFill>
          </w14:textFill>
        </w:rPr>
        <w:t>主要收集梳理现状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河流水系防洪排涝标准，</w:t>
      </w:r>
      <w:r>
        <w:rPr>
          <w:rFonts w:hint="eastAsia" w:ascii="仿宋_GB2312" w:hAnsi="仿宋_GB2312" w:eastAsia="仿宋_GB2312" w:cs="仿宋_GB2312"/>
          <w:color w:val="000000" w:themeColor="text1"/>
          <w:sz w:val="32"/>
          <w:szCs w:val="32"/>
          <w:lang w:val="zh-CN"/>
          <w14:textFill>
            <w14:solidFill>
              <w14:schemeClr w14:val="tx1"/>
            </w14:solidFill>
          </w14:textFill>
        </w:rPr>
        <w:t>复核评估</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防洪排涝标准是否满足中心城区未来发展的需求</w:t>
      </w:r>
      <w:r>
        <w:rPr>
          <w:rFonts w:hint="eastAsia" w:ascii="仿宋_GB2312" w:hAnsi="仿宋_GB2312" w:eastAsia="仿宋_GB2312" w:cs="仿宋_GB2312"/>
          <w:color w:val="000000" w:themeColor="text1"/>
          <w:sz w:val="32"/>
          <w:szCs w:val="32"/>
          <w:lang w:val="zh-CN"/>
          <w14:textFill>
            <w14:solidFill>
              <w14:schemeClr w14:val="tx1"/>
            </w14:solidFill>
          </w14:textFill>
        </w:rPr>
        <w:t>。</w:t>
      </w:r>
    </w:p>
    <w:p w14:paraId="1A686244">
      <w:pPr>
        <w:widowControl w:val="0"/>
        <w:overflowPunct w:val="0"/>
        <w:spacing w:line="576" w:lineRule="exact"/>
        <w:ind w:firstLine="643" w:firstLineChars="200"/>
        <w:rPr>
          <w:rFonts w:hint="eastAsia" w:ascii="楷体_GB2312" w:hAnsi="楷体_GB2312" w:eastAsia="楷体_GB2312" w:cs="楷体_GB2312"/>
          <w:b/>
          <w:bCs/>
          <w:sz w:val="32"/>
          <w:szCs w:val="32"/>
          <w:lang w:val="zh-CN" w:eastAsia="zh-CN"/>
        </w:rPr>
      </w:pPr>
      <w:r>
        <w:rPr>
          <w:rFonts w:hint="eastAsia" w:ascii="楷体_GB2312" w:hAnsi="楷体_GB2312" w:eastAsia="楷体_GB2312" w:cs="楷体_GB2312"/>
          <w:b/>
          <w:bCs/>
          <w:sz w:val="32"/>
          <w:szCs w:val="32"/>
          <w:lang w:val="en-US" w:eastAsia="zh-CN"/>
        </w:rPr>
        <w:t>2、</w:t>
      </w:r>
      <w:r>
        <w:rPr>
          <w:rFonts w:hint="eastAsia" w:ascii="楷体_GB2312" w:hAnsi="楷体_GB2312" w:eastAsia="楷体_GB2312" w:cs="楷体_GB2312"/>
          <w:b/>
          <w:bCs/>
          <w:sz w:val="32"/>
          <w:szCs w:val="32"/>
          <w:lang w:val="zh-CN" w:eastAsia="zh-CN"/>
        </w:rPr>
        <w:t>排水体制确定</w:t>
      </w:r>
    </w:p>
    <w:p w14:paraId="522C9D54">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综合《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新野县</w:t>
      </w:r>
      <w:r>
        <w:rPr>
          <w:rFonts w:hint="eastAsia" w:ascii="仿宋_GB2312" w:hAnsi="仿宋_GB2312" w:eastAsia="仿宋_GB2312" w:cs="仿宋_GB2312"/>
          <w:color w:val="000000" w:themeColor="text1"/>
          <w:sz w:val="32"/>
          <w:szCs w:val="32"/>
          <w:lang w:val="zh-CN"/>
          <w14:textFill>
            <w14:solidFill>
              <w14:schemeClr w14:val="tx1"/>
            </w14:solidFill>
          </w14:textFill>
        </w:rPr>
        <w:t>国土空间总体规划（202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lang w:val="zh-CN"/>
          <w14:textFill>
            <w14:solidFill>
              <w14:schemeClr w14:val="tx1"/>
            </w14:solidFill>
          </w14:textFill>
        </w:rPr>
        <w:t>-2035年）》规划，从环境保护要求、污水利用处理情况、原有排水设施、地形等条件，从全局出发，经综合分析比较后确定。</w:t>
      </w:r>
    </w:p>
    <w:p w14:paraId="2B3D37A7">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排水体制为</w:t>
      </w:r>
    </w:p>
    <w:p w14:paraId="71C8AF50">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（1）现状截流式合流制排水体制向雨污分流制转变，至规划期末实现完全分流；</w:t>
      </w:r>
    </w:p>
    <w:p w14:paraId="101689E4">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（2）新建区或改扩建区域严格按分流制排水体制建设。</w:t>
      </w:r>
      <w:r>
        <w:rPr>
          <w:rFonts w:hint="eastAsia" w:ascii="仿宋_GB2312" w:hAnsi="仿宋_GB2312" w:eastAsia="仿宋_GB2312" w:cs="仿宋_GB2312"/>
          <w:color w:val="000000" w:themeColor="text1"/>
          <w:sz w:val="32"/>
          <w:szCs w:val="32"/>
          <w:lang w:val="zh-CN"/>
          <w14:textFill>
            <w14:solidFill>
              <w14:schemeClr w14:val="tx1"/>
            </w14:solidFill>
          </w14:textFill>
        </w:rPr>
        <w:t>。</w:t>
      </w:r>
    </w:p>
    <w:p w14:paraId="23CF2A74">
      <w:pPr>
        <w:widowControl w:val="0"/>
        <w:overflowPunct w:val="0"/>
        <w:spacing w:line="576" w:lineRule="exact"/>
        <w:ind w:firstLine="643" w:firstLineChars="200"/>
        <w:rPr>
          <w:rFonts w:hint="eastAsia" w:ascii="楷体_GB2312" w:hAnsi="楷体_GB2312" w:eastAsia="楷体_GB2312" w:cs="楷体_GB2312"/>
          <w:b/>
          <w:bCs/>
          <w:sz w:val="32"/>
          <w:szCs w:val="32"/>
          <w:lang w:val="zh-CN" w:eastAsia="zh-CN"/>
        </w:rPr>
      </w:pPr>
      <w:r>
        <w:rPr>
          <w:rFonts w:hint="eastAsia" w:ascii="楷体_GB2312" w:hAnsi="楷体_GB2312" w:eastAsia="楷体_GB2312" w:cs="楷体_GB2312"/>
          <w:b/>
          <w:bCs/>
          <w:sz w:val="32"/>
          <w:szCs w:val="32"/>
          <w:lang w:val="en-US" w:eastAsia="zh-CN"/>
        </w:rPr>
        <w:t>3</w:t>
      </w:r>
      <w:r>
        <w:rPr>
          <w:rFonts w:hint="eastAsia" w:ascii="楷体_GB2312" w:hAnsi="楷体_GB2312" w:eastAsia="楷体_GB2312" w:cs="楷体_GB2312"/>
          <w:b/>
          <w:bCs/>
          <w:sz w:val="32"/>
          <w:szCs w:val="32"/>
          <w:lang w:val="zh-CN" w:eastAsia="zh-CN"/>
        </w:rPr>
        <w:t>、污水系统规划</w:t>
      </w:r>
    </w:p>
    <w:p w14:paraId="59F6A1C5">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（1）污水量预测</w:t>
      </w:r>
    </w:p>
    <w:p w14:paraId="01686CE6">
      <w:pPr>
        <w:spacing w:line="360" w:lineRule="auto"/>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结合《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新野县</w:t>
      </w:r>
      <w:r>
        <w:rPr>
          <w:rFonts w:hint="eastAsia" w:ascii="仿宋_GB2312" w:hAnsi="仿宋_GB2312" w:eastAsia="仿宋_GB2312" w:cs="仿宋_GB2312"/>
          <w:color w:val="000000" w:themeColor="text1"/>
          <w:sz w:val="32"/>
          <w:szCs w:val="32"/>
          <w:lang w:val="zh-CN"/>
          <w14:textFill>
            <w14:solidFill>
              <w14:schemeClr w14:val="tx1"/>
            </w14:solidFill>
          </w14:textFill>
        </w:rPr>
        <w:t>国土空间总体规划（202</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lang w:val="zh-CN"/>
          <w14:textFill>
            <w14:solidFill>
              <w14:schemeClr w14:val="tx1"/>
            </w14:solidFill>
          </w14:textFill>
        </w:rPr>
        <w:t>-2035年）》</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中心城区的</w:t>
      </w:r>
      <w:r>
        <w:rPr>
          <w:rFonts w:hint="eastAsia" w:ascii="仿宋_GB2312" w:hAnsi="仿宋_GB2312" w:eastAsia="仿宋_GB2312" w:cs="仿宋_GB2312"/>
          <w:color w:val="000000" w:themeColor="text1"/>
          <w:sz w:val="32"/>
          <w:szCs w:val="32"/>
          <w:lang w:val="zh-CN"/>
          <w14:textFill>
            <w14:solidFill>
              <w14:schemeClr w14:val="tx1"/>
            </w14:solidFill>
          </w14:textFill>
        </w:rPr>
        <w:t>土地利用情况、人口现状及增长预测、土地利用规划、产业发展及布局等资料，</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结合中心城区实际情况合理确定用水指标，预测中心城区用水量</w:t>
      </w:r>
      <w:r>
        <w:rPr>
          <w:rFonts w:hint="eastAsia" w:ascii="仿宋_GB2312" w:hAnsi="仿宋_GB2312" w:eastAsia="仿宋_GB2312" w:cs="仿宋_GB2312"/>
          <w:color w:val="000000" w:themeColor="text1"/>
          <w:sz w:val="32"/>
          <w:szCs w:val="32"/>
          <w:lang w:val="zh-CN"/>
          <w14:textFill>
            <w14:solidFill>
              <w14:schemeClr w14:val="tx1"/>
            </w14:solidFill>
          </w14:textFill>
        </w:rPr>
        <w:t>。</w:t>
      </w:r>
    </w:p>
    <w:p w14:paraId="00A9276D">
      <w:pPr>
        <w:spacing w:line="360" w:lineRule="auto"/>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确定</w:t>
      </w:r>
      <w:r>
        <w:rPr>
          <w:rFonts w:hint="eastAsia" w:ascii="仿宋_GB2312" w:hAnsi="仿宋_GB2312" w:eastAsia="仿宋_GB2312" w:cs="仿宋_GB2312"/>
          <w:color w:val="000000" w:themeColor="text1"/>
          <w:sz w:val="32"/>
          <w:szCs w:val="32"/>
          <w:lang w:val="zh-CN"/>
          <w14:textFill>
            <w14:solidFill>
              <w14:schemeClr w14:val="tx1"/>
            </w14:solidFill>
          </w14:textFill>
        </w:rPr>
        <w:t>规划范围内的污水</w:t>
      </w:r>
      <w:r>
        <w:rPr>
          <w:rFonts w:hint="eastAsia" w:ascii="仿宋_GB2312" w:hAnsi="仿宋_GB2312" w:eastAsia="仿宋_GB2312" w:cs="仿宋_GB2312"/>
          <w:color w:val="000000" w:themeColor="text1"/>
          <w:sz w:val="32"/>
          <w:szCs w:val="32"/>
          <w:lang w:val="zh-CN" w:eastAsia="zh-CN"/>
          <w14:textFill>
            <w14:solidFill>
              <w14:schemeClr w14:val="tx1"/>
            </w14:solidFill>
          </w14:textFill>
        </w:rPr>
        <w:t>量</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为近期污水量为7.8万m³/d，元气污水量为13.3万m³/d。</w:t>
      </w:r>
    </w:p>
    <w:p w14:paraId="65AE7878">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（2）污水系统分区及污水厂布局规划</w:t>
      </w:r>
    </w:p>
    <w:p w14:paraId="403472B5">
      <w:pPr>
        <w:spacing w:line="360" w:lineRule="auto"/>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结合地形地势、污水系统现状、城市发展因素等综合考虑，将中心城区划分三个污水系统，即河东片区污水系统、河西片区污水系统和东北片区污水系统。</w:t>
      </w:r>
    </w:p>
    <w:p w14:paraId="0803C2B9">
      <w:pPr>
        <w:spacing w:line="360" w:lineRule="auto"/>
        <w:ind w:firstLine="640" w:firstLineChars="200"/>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保留第一、第二及军民渠污水处理厂，新建第三污水处理厂及东北新区污水处理厂。</w:t>
      </w:r>
    </w:p>
    <w:p w14:paraId="465B75BD">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（3）污水管网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系统</w:t>
      </w:r>
      <w:r>
        <w:rPr>
          <w:rFonts w:hint="eastAsia" w:ascii="仿宋_GB2312" w:hAnsi="仿宋_GB2312" w:eastAsia="仿宋_GB2312" w:cs="仿宋_GB2312"/>
          <w:color w:val="000000" w:themeColor="text1"/>
          <w:sz w:val="32"/>
          <w:szCs w:val="32"/>
          <w:lang w:val="zh-CN"/>
          <w14:textFill>
            <w14:solidFill>
              <w14:schemeClr w14:val="tx1"/>
            </w14:solidFill>
          </w14:textFill>
        </w:rPr>
        <w:t>规划</w:t>
      </w:r>
    </w:p>
    <w:p w14:paraId="2BB499C4">
      <w:pPr>
        <w:spacing w:line="360" w:lineRule="auto"/>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基于现状污水管网建设及排</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污</w:t>
      </w:r>
      <w:r>
        <w:rPr>
          <w:rFonts w:hint="eastAsia" w:ascii="仿宋_GB2312" w:hAnsi="仿宋_GB2312" w:eastAsia="仿宋_GB2312" w:cs="仿宋_GB2312"/>
          <w:color w:val="000000" w:themeColor="text1"/>
          <w:sz w:val="32"/>
          <w:szCs w:val="32"/>
          <w:lang w:val="zh-CN"/>
          <w14:textFill>
            <w14:solidFill>
              <w14:schemeClr w14:val="tx1"/>
            </w14:solidFill>
          </w14:textFill>
        </w:rPr>
        <w:t>分布情况，结合污水厂规划布局</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来确定污水管网系统。</w:t>
      </w:r>
    </w:p>
    <w:p w14:paraId="71112555">
      <w:pPr>
        <w:spacing w:line="360" w:lineRule="auto"/>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河东片区污水系统沿洧翔路、大桥路、朝阳路、人民路、中兴路、河园路敷设污水干管。</w:t>
      </w:r>
    </w:p>
    <w:p w14:paraId="20E8DED6">
      <w:pPr>
        <w:spacing w:line="360" w:lineRule="auto"/>
        <w:ind w:firstLine="640" w:firstLineChars="200"/>
        <w:rPr>
          <w:rFonts w:hint="default" w:ascii="宋体" w:hAnsi="宋体" w:eastAsia="宋体" w:cs="宋体"/>
          <w:color w:val="auto"/>
          <w:sz w:val="24"/>
          <w:szCs w:val="24"/>
          <w:lang w:val="en-US" w:eastAsia="zh-CN"/>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河西片区污水系统沿西滨路、南环路、果园路、书院路、新城大道敷设污水干管。</w:t>
      </w:r>
    </w:p>
    <w:p w14:paraId="5F5B6F30">
      <w:pPr>
        <w:spacing w:line="360" w:lineRule="auto"/>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东北新区污水系统沿规划五路、邓禹路、规划六路、三里河北路敷设污水干管，进入东北新区污水处理厂。</w:t>
      </w:r>
    </w:p>
    <w:p w14:paraId="5243D02A">
      <w:pPr>
        <w:spacing w:line="360" w:lineRule="auto"/>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规划区域内需设置两座污水提升泵站：一座位于大桥路与军民渠交汇处，一座位于G328与果园路交叉口西。</w:t>
      </w:r>
    </w:p>
    <w:p w14:paraId="0B5B4BBC">
      <w:pPr>
        <w:spacing w:line="360" w:lineRule="auto"/>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规划沿大桥路从朝阳路以东到运粮河段修建一条dn500mm的压力污水管道，连通河东片区与河西片区的污水管网。将部分河东片区的污水导入河西片区的第二污水处理厂进行处理。</w:t>
      </w:r>
    </w:p>
    <w:p w14:paraId="4462BC7C">
      <w:pPr>
        <w:widowControl w:val="0"/>
        <w:numPr>
          <w:ilvl w:val="0"/>
          <w:numId w:val="1"/>
        </w:numPr>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污水系统提质增效</w:t>
      </w:r>
      <w:r>
        <w:rPr>
          <w:rFonts w:hint="eastAsia" w:ascii="仿宋_GB2312" w:hAnsi="仿宋_GB2312" w:eastAsia="仿宋_GB2312" w:cs="仿宋_GB2312"/>
          <w:color w:val="000000" w:themeColor="text1"/>
          <w:sz w:val="32"/>
          <w:szCs w:val="32"/>
          <w:lang w:val="zh-CN"/>
          <w14:textFill>
            <w14:solidFill>
              <w14:schemeClr w14:val="tx1"/>
            </w14:solidFill>
          </w14:textFill>
        </w:rPr>
        <w:t>规划</w:t>
      </w:r>
    </w:p>
    <w:p w14:paraId="70646638">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模推进老旧管网、空白区域管网新建改造，大幅提升污水收集覆盖率；完成污水处理厂设备更新、工艺优化，提升处理效能和低碳运维水平，实现建成区雨污分流基本全覆盖，无大规模污水混排、直排问题。</w:t>
      </w:r>
    </w:p>
    <w:p w14:paraId="191209EB">
      <w:pPr>
        <w:widowControl w:val="0"/>
        <w:overflowPunct w:val="0"/>
        <w:spacing w:line="576" w:lineRule="exact"/>
        <w:ind w:firstLine="640" w:firstLineChars="200"/>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lang w:val="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雨污分流改造规划</w:t>
      </w:r>
    </w:p>
    <w:p w14:paraId="42C8AC5E">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结合新野县的现状情况，应逐步将合流制管道改造为分流制管道。根据实际情况分析合流管道作为雨水管道或污水管道利用，新建污水管道或雨水管道，当现状合流管道埋深或管径不满足新标准下雨水管道输送要求时，建议将现状合流管道清通作为污水管道利用，新建雨水管道；否则建议现状合流管道清通作为雨水管道利用，新建污水管道。</w:t>
      </w:r>
    </w:p>
    <w:p w14:paraId="3187E3A0">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lang w:val="zh-CN"/>
          <w14:textFill>
            <w14:solidFill>
              <w14:schemeClr w14:val="tx1"/>
            </w14:solidFill>
          </w14:textFill>
        </w:rPr>
        <w:t>）污泥处理处置规划</w:t>
      </w:r>
    </w:p>
    <w:p w14:paraId="46A44FD3">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预测污泥产量约为106.4吨/日（含水率80%）。</w:t>
      </w:r>
    </w:p>
    <w:p w14:paraId="1282C1BC">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规划新野县第一污水处理厂、第二污水处理厂、第三污水处理厂、军民渠污水处理厂、东北新区污水处理厂的污泥，在各自厂内经浓缩、脱水含水率将至符合要求后，再运送至新野县污泥处理厂，厂址拟建于城区西侧静脉产业园内，占地面积1.5公顷。</w:t>
      </w:r>
    </w:p>
    <w:p w14:paraId="6489C1BE">
      <w:pPr>
        <w:widowControl w:val="0"/>
        <w:numPr>
          <w:ilvl w:val="0"/>
          <w:numId w:val="0"/>
        </w:numPr>
        <w:overflowPunct w:val="0"/>
        <w:spacing w:line="576" w:lineRule="exact"/>
        <w:ind w:firstLine="643" w:firstLineChars="200"/>
        <w:rPr>
          <w:rFonts w:hint="eastAsia" w:ascii="楷体_GB2312" w:hAnsi="楷体_GB2312" w:eastAsia="楷体_GB2312" w:cs="楷体_GB2312"/>
          <w:b/>
          <w:bCs/>
          <w:sz w:val="32"/>
          <w:szCs w:val="32"/>
          <w:lang w:val="zh-CN" w:eastAsia="zh-CN"/>
        </w:rPr>
      </w:pPr>
      <w:r>
        <w:rPr>
          <w:rFonts w:hint="eastAsia" w:ascii="楷体_GB2312" w:hAnsi="楷体_GB2312" w:eastAsia="楷体_GB2312" w:cs="楷体_GB2312"/>
          <w:b/>
          <w:bCs/>
          <w:sz w:val="32"/>
          <w:szCs w:val="32"/>
          <w:lang w:val="en-US" w:eastAsia="zh-CN"/>
        </w:rPr>
        <w:t>4、排水（雨水）防涝</w:t>
      </w:r>
      <w:r>
        <w:rPr>
          <w:rFonts w:hint="eastAsia" w:ascii="楷体_GB2312" w:hAnsi="楷体_GB2312" w:eastAsia="楷体_GB2312" w:cs="楷体_GB2312"/>
          <w:b/>
          <w:bCs/>
          <w:sz w:val="32"/>
          <w:szCs w:val="32"/>
          <w:lang w:val="zh-CN" w:eastAsia="zh-CN"/>
        </w:rPr>
        <w:t>系统规划</w:t>
      </w:r>
    </w:p>
    <w:p w14:paraId="4922AB96">
      <w:pPr>
        <w:widowControl w:val="0"/>
        <w:numPr>
          <w:ilvl w:val="0"/>
          <w:numId w:val="2"/>
        </w:numPr>
        <w:overflowPunct w:val="0"/>
        <w:spacing w:line="576" w:lineRule="exact"/>
        <w:ind w:left="642" w:leftChars="0" w:firstLine="0" w:firstLineChars="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对现状排水能力和内涝风险评估</w:t>
      </w:r>
    </w:p>
    <w:p w14:paraId="7896F78D">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zh-CN" w:eastAsia="zh-CN"/>
          <w14:textFill>
            <w14:solidFill>
              <w14:schemeClr w14:val="tx1"/>
            </w14:solidFill>
          </w14:textFill>
        </w:rPr>
        <w:t>暴雨强度公式的确定</w:t>
      </w:r>
    </w:p>
    <w:p w14:paraId="0AFE2628">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本次专项规划推荐新野县采用南阳市暴雨强度如下：</w:t>
      </w:r>
    </w:p>
    <w:p w14:paraId="3E54ED3B">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i=(3.591+3.970LgTm)/(t+3.434)0.416mm/min</w:t>
      </w:r>
    </w:p>
    <w:p w14:paraId="5E58A1CF">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若规划期内，有新推出的南阳市暴雨强度公式，则宜采用新暴雨强度公式。</w:t>
      </w:r>
    </w:p>
    <w:p w14:paraId="37D06211">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zh-CN" w:eastAsia="zh-CN"/>
          <w14:textFill>
            <w14:solidFill>
              <w14:schemeClr w14:val="tx1"/>
            </w14:solidFill>
          </w14:textFill>
        </w:rPr>
        <w:t>）城市现状排水系统排水能力评估</w:t>
      </w:r>
    </w:p>
    <w:p w14:paraId="4B2ADD29">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eastAsia="zh-CN"/>
          <w14:textFill>
            <w14:solidFill>
              <w14:schemeClr w14:val="tx1"/>
            </w14:solidFill>
          </w14:textFill>
        </w:rPr>
      </w:pPr>
      <w:r>
        <w:rPr>
          <w:rFonts w:hint="eastAsia" w:ascii="仿宋_GB2312" w:hAnsi="仿宋_GB2312" w:eastAsia="仿宋_GB2312" w:cs="仿宋_GB2312"/>
          <w:color w:val="000000" w:themeColor="text1"/>
          <w:sz w:val="32"/>
          <w:szCs w:val="32"/>
          <w:lang w:val="zh-CN" w:eastAsia="zh-CN"/>
          <w14:textFill>
            <w14:solidFill>
              <w14:schemeClr w14:val="tx1"/>
            </w14:solidFill>
          </w14:textFill>
        </w:rPr>
        <w:t>本次评估现状雨水管渠，其中排水能力小于1年一遇的所占比例为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61.42</w:t>
      </w:r>
      <w:r>
        <w:rPr>
          <w:rFonts w:hint="eastAsia" w:ascii="仿宋_GB2312" w:hAnsi="仿宋_GB2312" w:eastAsia="仿宋_GB2312" w:cs="仿宋_GB2312"/>
          <w:color w:val="000000" w:themeColor="text1"/>
          <w:sz w:val="32"/>
          <w:szCs w:val="32"/>
          <w:lang w:val="zh-CN" w:eastAsia="zh-CN"/>
          <w14:textFill>
            <w14:solidFill>
              <w14:schemeClr w14:val="tx1"/>
            </w14:solidFill>
          </w14:textFill>
        </w:rPr>
        <w:t>%；排水能力大于等于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zh-CN" w:eastAsia="zh-CN"/>
          <w14:textFill>
            <w14:solidFill>
              <w14:schemeClr w14:val="tx1"/>
            </w14:solidFill>
          </w14:textFill>
        </w:rPr>
        <w:t>年一遇的管网所占比例为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7.1</w:t>
      </w:r>
      <w:r>
        <w:rPr>
          <w:rFonts w:hint="eastAsia" w:ascii="仿宋_GB2312" w:hAnsi="仿宋_GB2312" w:eastAsia="仿宋_GB2312" w:cs="仿宋_GB2312"/>
          <w:color w:val="000000" w:themeColor="text1"/>
          <w:sz w:val="32"/>
          <w:szCs w:val="32"/>
          <w:lang w:val="zh-CN" w:eastAsia="zh-CN"/>
          <w14:textFill>
            <w14:solidFill>
              <w14:schemeClr w14:val="tx1"/>
            </w14:solidFill>
          </w14:textFill>
        </w:rPr>
        <w:t>%；排水能力</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zh-CN"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lang w:val="zh-CN" w:eastAsia="zh-CN"/>
          <w14:textFill>
            <w14:solidFill>
              <w14:schemeClr w14:val="tx1"/>
            </w14:solidFill>
          </w14:textFill>
        </w:rPr>
        <w:t>年一遇的管网所占比例为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zh-CN" w:eastAsia="zh-CN"/>
          <w14:textFill>
            <w14:solidFill>
              <w14:schemeClr w14:val="tx1"/>
            </w14:solidFill>
          </w14:textFill>
        </w:rPr>
        <w:t>%，排水能力大于等于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lang w:val="zh-CN" w:eastAsia="zh-CN"/>
          <w14:textFill>
            <w14:solidFill>
              <w14:schemeClr w14:val="tx1"/>
            </w14:solidFill>
          </w14:textFill>
        </w:rPr>
        <w:t>年一遇的管网所占比例为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29.5</w:t>
      </w:r>
      <w:r>
        <w:rPr>
          <w:rFonts w:hint="eastAsia" w:ascii="仿宋_GB2312" w:hAnsi="仿宋_GB2312" w:eastAsia="仿宋_GB2312" w:cs="仿宋_GB2312"/>
          <w:color w:val="000000" w:themeColor="text1"/>
          <w:sz w:val="32"/>
          <w:szCs w:val="32"/>
          <w:lang w:val="zh-CN" w:eastAsia="zh-CN"/>
          <w14:textFill>
            <w14:solidFill>
              <w14:schemeClr w14:val="tx1"/>
            </w14:solidFill>
          </w14:textFill>
        </w:rPr>
        <w:t>%。</w:t>
      </w:r>
    </w:p>
    <w:p w14:paraId="2DDC9855">
      <w:pPr>
        <w:spacing w:line="360" w:lineRule="auto"/>
        <w:ind w:firstLine="640" w:firstLineChars="200"/>
        <w:rPr>
          <w:rFonts w:hint="eastAsia" w:ascii="仿宋_GB2312" w:hAnsi="仿宋_GB2312" w:eastAsia="仿宋_GB2312" w:cs="仿宋_GB2312"/>
          <w:color w:val="000000" w:themeColor="text1"/>
          <w:sz w:val="32"/>
          <w:szCs w:val="32"/>
          <w:lang w:val="zh-CN" w:eastAsia="zh-CN"/>
          <w14:textFill>
            <w14:solidFill>
              <w14:schemeClr w14:val="tx1"/>
            </w14:solidFill>
          </w14:textFill>
        </w:rPr>
      </w:pPr>
      <w:r>
        <w:rPr>
          <w:rFonts w:hint="eastAsia" w:ascii="仿宋_GB2312" w:hAnsi="仿宋_GB2312" w:eastAsia="仿宋_GB2312" w:cs="仿宋_GB2312"/>
          <w:color w:val="000000" w:themeColor="text1"/>
          <w:sz w:val="32"/>
          <w:szCs w:val="32"/>
          <w:lang w:val="zh-CN" w:eastAsia="zh-CN"/>
          <w14:textFill>
            <w14:solidFill>
              <w14:schemeClr w14:val="tx1"/>
            </w14:solidFill>
          </w14:textFill>
        </w:rPr>
        <w:t>根据评估结果，中心城区现状雨水管网排水能力小于1年一遇的管网占比过大，排水系统整体排水能力较低。</w:t>
      </w:r>
    </w:p>
    <w:p w14:paraId="3BFF399C">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lang w:val="zh-CN" w:eastAsia="zh-CN"/>
          <w14:textFill>
            <w14:solidFill>
              <w14:schemeClr w14:val="tx1"/>
            </w14:solidFill>
          </w14:textFill>
        </w:rPr>
        <w:t>）现状城区的内涝风险评估</w:t>
      </w:r>
    </w:p>
    <w:p w14:paraId="7A887096">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本次规划分析新野现状建成区在20年一遇（24h）设计暴雨下的管网系统的表现，分析地表积水范围、水深、流速、历时和汇流路径，分析模拟结果进行内涝风险评估。</w:t>
      </w:r>
    </w:p>
    <w:p w14:paraId="5D4B245D">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基于现状排水系统模拟结果，本次参与评价的区域面积约合29.24平方公里，中心城区中高风险区域面积之和为0.21平方公里，占中心城区总面积的0.72%；中风险区域面积之和为0.91平方公里，占中心城区总面积的3.11%；低风险区域面积之和为4.14平方千米，占中心城区总面积的14.16%，未淹没区域面积之和约为23.98平方公里，占比约82.01%。</w:t>
      </w:r>
    </w:p>
    <w:p w14:paraId="15B3798F">
      <w:pPr>
        <w:widowControl w:val="0"/>
        <w:numPr>
          <w:ilvl w:val="0"/>
          <w:numId w:val="2"/>
        </w:numPr>
        <w:overflowPunct w:val="0"/>
        <w:spacing w:line="576" w:lineRule="exact"/>
        <w:ind w:left="642" w:leftChars="0" w:firstLine="0" w:firstLineChars="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雨水系统分区</w:t>
      </w:r>
    </w:p>
    <w:p w14:paraId="767B19DE">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依据城区河道分布及功能、道路竖向规划和雨水管网布局，将新野县城区划分为6个雨水系统：运粮河汇水区、白河西汇水区、三里河汇水区、白河东汇水区、军民渠汇水区、农场沟汇水区。</w:t>
      </w:r>
    </w:p>
    <w:p w14:paraId="26CC63C0">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lang w:val="zh-CN"/>
          <w14:textFill>
            <w14:solidFill>
              <w14:schemeClr w14:val="tx1"/>
            </w14:solidFill>
          </w14:textFill>
        </w:rPr>
        <w:t>）雨水管网规划</w:t>
      </w:r>
    </w:p>
    <w:p w14:paraId="172E963D">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1）运粮河水区：以强国路、大桥路、南环路等东西向道路的雨水管道为排放主通道，以果园路、新城大道等南北向向道路的雨水管道为排放主通道排入运粮河。</w:t>
      </w:r>
    </w:p>
    <w:p w14:paraId="71F34254">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2）白河西汇水区：以强国等东西向道路的雨水管道为排放主通道，以西滨河路等南北向道路的雨水管道为排放主通道排入白河。</w:t>
      </w:r>
    </w:p>
    <w:p w14:paraId="3ACD3AB4">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3）三里河汇水区：以北环路、邓禹路、三里河北路等东西向道路的雨水管道为排放主通道，以东滨河路的雨水管道为排放主通道排入白河。</w:t>
      </w:r>
    </w:p>
    <w:p w14:paraId="3266678A">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4）白河东汇水区：以书院路、纺织路等东西向道路的雨水管道为排放主通道，以东滨河路、淯翔路等南北向道路的雨水管道为排放主通道排入白河。</w:t>
      </w:r>
    </w:p>
    <w:p w14:paraId="47A4A2DF">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5）军民渠汇水区：以汉华路、纺织路、城南路等东西向道路的雨水管道为排放主通道，以朝阳路、中兴路、东环路等南北向道路的雨水管道为排放主通道排入梅溪河。</w:t>
      </w:r>
    </w:p>
    <w:p w14:paraId="51C052E8">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6）农场沟汇水区：以汉华路、纺织路、城南路等东西向道路的雨水管道为排放主通道，以人民路、中兴路等南北向道路的雨水管道为排放主通道排入农场沟。</w:t>
      </w:r>
    </w:p>
    <w:p w14:paraId="199F48EE">
      <w:pPr>
        <w:widowControl w:val="0"/>
        <w:numPr>
          <w:ilvl w:val="0"/>
          <w:numId w:val="0"/>
        </w:numPr>
        <w:overflowPunct w:val="0"/>
        <w:spacing w:line="576" w:lineRule="exact"/>
        <w:ind w:left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（4）防涝系统</w:t>
      </w:r>
      <w:r>
        <w:rPr>
          <w:rFonts w:hint="eastAsia" w:ascii="仿宋_GB2312" w:hAnsi="仿宋_GB2312" w:eastAsia="仿宋_GB2312" w:cs="仿宋_GB2312"/>
          <w:color w:val="000000" w:themeColor="text1"/>
          <w:sz w:val="32"/>
          <w:szCs w:val="32"/>
          <w:lang w:val="zh-CN"/>
          <w14:textFill>
            <w14:solidFill>
              <w14:schemeClr w14:val="tx1"/>
            </w14:solidFill>
          </w14:textFill>
        </w:rPr>
        <w:t>规划</w:t>
      </w:r>
    </w:p>
    <w:p w14:paraId="4D58E017">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结合城市地形高差、河流水系分布、现状积水情况及片区开发格局，科学构建“源头减、管网排、中途蓄、末端泄、应急保”的全域防涝总体布局。统筹雨水系统与河道防洪体系衔接，实现管网排水、河湖调蓄、河道泄洪、泵站强排系统联动，形成布局科学、层级清晰、全域覆盖的现代化防涝格局。</w:t>
      </w:r>
    </w:p>
    <w:p w14:paraId="16168615">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规划标准</w:t>
      </w:r>
    </w:p>
    <w:p w14:paraId="2817D98F">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1）雨水径流控制标准</w:t>
      </w:r>
    </w:p>
    <w:p w14:paraId="3C8B8012">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规划确定新野县城市的径流总量控制率为75%，对应设计的降水量为25.8mm。</w:t>
      </w:r>
    </w:p>
    <w:p w14:paraId="1AD26C12">
      <w:pPr>
        <w:widowControl w:val="0"/>
        <w:overflowPunct w:val="0"/>
        <w:spacing w:line="576" w:lineRule="exact"/>
        <w:ind w:firstLine="640" w:firstLineChars="200"/>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2）雨水管渠、泵站及附属设施规划设计标准</w:t>
      </w:r>
    </w:p>
    <w:p w14:paraId="0DF90FE5">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结合城区现状及规划情况，确定本次规划区内中心城区雨水管渠设计重现期为2-3年，中心城区的重要地区为3-5年，对下立交、地道和下沉广场等应至少满足30年。</w:t>
      </w:r>
    </w:p>
    <w:p w14:paraId="51325986">
      <w:pPr>
        <w:widowControl w:val="0"/>
        <w:overflowPunct w:val="0"/>
        <w:spacing w:line="576" w:lineRule="exact"/>
        <w:ind w:firstLine="640" w:firstLineChars="200"/>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3）城市内涝防治标准</w:t>
      </w:r>
    </w:p>
    <w:p w14:paraId="3FFE4BB2">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规划建议城市内涝防治重现期与《新野县国土空间总体规划（2021-2035年）》保持一致，城区内涝防治期按照20年一遇进行设置。</w:t>
      </w:r>
    </w:p>
    <w:p w14:paraId="71571925">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①内涝防治重现期内的地面积水设计标准</w:t>
      </w:r>
    </w:p>
    <w:p w14:paraId="02719195">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居民住宅和工商业建筑物的底层不进水；</w:t>
      </w:r>
    </w:p>
    <w:p w14:paraId="3229793F">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道路中一条车道的积水深度不超过 15cm。</w:t>
      </w:r>
    </w:p>
    <w:p w14:paraId="6CCD4DA1">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②内滞防治设计重现期下的最大允许退水时间</w:t>
      </w:r>
    </w:p>
    <w:p w14:paraId="4C2DC9D0">
      <w:pPr>
        <w:widowControl w:val="0"/>
        <w:overflowPunct w:val="0"/>
        <w:spacing w:line="576" w:lineRule="exact"/>
        <w:ind w:firstLine="643" w:firstLineChars="200"/>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5、再生水规划</w:t>
      </w:r>
    </w:p>
    <w:p w14:paraId="6B98D669">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zh-CN"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zh-CN" w:eastAsia="zh-CN"/>
          <w14:textFill>
            <w14:solidFill>
              <w14:schemeClr w14:val="tx1"/>
            </w14:solidFill>
          </w14:textFill>
        </w:rPr>
        <w:t>）确定再生水使用用对象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为道路浇洒、绿化灌溉等市政杂用，河流水系的补水以及部分水质要求较低的工业用水。</w:t>
      </w:r>
    </w:p>
    <w:p w14:paraId="5291B0F8">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lang w:val="zh-CN"/>
          <w14:textFill>
            <w14:solidFill>
              <w14:schemeClr w14:val="tx1"/>
            </w14:solidFill>
          </w14:textFill>
        </w:rPr>
        <w:t>）预测再生水回用规模</w:t>
      </w:r>
    </w:p>
    <w:p w14:paraId="1B6B0887">
      <w:pPr>
        <w:spacing w:line="360" w:lineRule="auto"/>
        <w:ind w:firstLine="480" w:firstLineChars="200"/>
        <w:jc w:val="center"/>
        <w:rPr>
          <w:rFonts w:hint="eastAsia" w:ascii="方正仿宋_GB2312" w:hAnsi="方正仿宋_GB2312" w:eastAsia="方正仿宋_GB2312" w:cs="方正仿宋_GB2312"/>
          <w:sz w:val="24"/>
          <w:szCs w:val="24"/>
          <w:lang w:val="zh-CN" w:eastAsia="zh-CN"/>
        </w:rPr>
      </w:pPr>
      <w:r>
        <w:rPr>
          <w:rFonts w:hint="eastAsia" w:ascii="方正仿宋_GB2312" w:hAnsi="方正仿宋_GB2312" w:eastAsia="方正仿宋_GB2312" w:cs="方正仿宋_GB2312"/>
          <w:sz w:val="24"/>
          <w:szCs w:val="24"/>
          <w:lang w:val="zh-CN" w:eastAsia="zh-CN"/>
        </w:rPr>
        <w:t>新野县城区再生水需求量预测表</w:t>
      </w:r>
    </w:p>
    <w:tbl>
      <w:tblPr>
        <w:tblStyle w:val="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72"/>
        <w:gridCol w:w="2934"/>
        <w:gridCol w:w="2374"/>
        <w:gridCol w:w="2374"/>
      </w:tblGrid>
      <w:tr w14:paraId="79C4B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57" w:type="pct"/>
            <w:noWrap w:val="0"/>
            <w:vAlign w:val="center"/>
          </w:tcPr>
          <w:p w14:paraId="1D4338ED">
            <w:pPr>
              <w:pStyle w:val="9"/>
              <w:bidi w:val="0"/>
              <w:rPr>
                <w:rFonts w:hint="eastAsia" w:ascii="方正仿宋_GB2312" w:hAnsi="方正仿宋_GB2312" w:eastAsia="方正仿宋_GB2312" w:cs="方正仿宋_GB2312"/>
                <w:lang w:val="zh-CN" w:eastAsia="zh-CN"/>
              </w:rPr>
            </w:pPr>
            <w:r>
              <w:rPr>
                <w:rFonts w:hint="eastAsia" w:ascii="方正仿宋_GB2312" w:hAnsi="方正仿宋_GB2312" w:eastAsia="方正仿宋_GB2312" w:cs="方正仿宋_GB2312"/>
                <w:lang w:val="zh-CN" w:eastAsia="zh-CN"/>
              </w:rPr>
              <w:t>序号</w:t>
            </w:r>
          </w:p>
        </w:tc>
        <w:tc>
          <w:tcPr>
            <w:tcW w:w="1734" w:type="pct"/>
            <w:noWrap w:val="0"/>
            <w:vAlign w:val="center"/>
          </w:tcPr>
          <w:p w14:paraId="16DC620D">
            <w:pPr>
              <w:pStyle w:val="9"/>
              <w:bidi w:val="0"/>
              <w:rPr>
                <w:rFonts w:hint="eastAsia" w:ascii="方正仿宋_GB2312" w:hAnsi="方正仿宋_GB2312" w:eastAsia="方正仿宋_GB2312" w:cs="方正仿宋_GB2312"/>
                <w:lang w:val="zh-CN" w:eastAsia="zh-CN"/>
              </w:rPr>
            </w:pPr>
            <w:r>
              <w:rPr>
                <w:rFonts w:hint="eastAsia" w:ascii="方正仿宋_GB2312" w:hAnsi="方正仿宋_GB2312" w:eastAsia="方正仿宋_GB2312" w:cs="方正仿宋_GB2312"/>
                <w:lang w:val="zh-CN" w:eastAsia="zh-CN"/>
              </w:rPr>
              <w:t>用水类别</w:t>
            </w:r>
          </w:p>
        </w:tc>
        <w:tc>
          <w:tcPr>
            <w:tcW w:w="1403" w:type="pct"/>
            <w:noWrap w:val="0"/>
            <w:vAlign w:val="center"/>
          </w:tcPr>
          <w:p w14:paraId="1350C641">
            <w:pPr>
              <w:pStyle w:val="9"/>
              <w:bidi w:val="0"/>
              <w:rPr>
                <w:rFonts w:hint="eastAsia" w:ascii="方正仿宋_GB2312" w:hAnsi="方正仿宋_GB2312" w:eastAsia="方正仿宋_GB2312" w:cs="方正仿宋_GB2312"/>
                <w:lang w:val="zh-CN" w:eastAsia="zh-CN"/>
              </w:rPr>
            </w:pPr>
            <w:r>
              <w:rPr>
                <w:rFonts w:hint="eastAsia" w:ascii="方正仿宋_GB2312" w:hAnsi="方正仿宋_GB2312" w:eastAsia="方正仿宋_GB2312" w:cs="方正仿宋_GB2312"/>
                <w:lang w:val="zh-CN" w:eastAsia="zh-CN"/>
              </w:rPr>
              <w:t>近期需水量</w:t>
            </w:r>
          </w:p>
          <w:p w14:paraId="54F0EDC7">
            <w:pPr>
              <w:pStyle w:val="9"/>
              <w:bidi w:val="0"/>
              <w:rPr>
                <w:rFonts w:hint="eastAsia" w:ascii="方正仿宋_GB2312" w:hAnsi="方正仿宋_GB2312" w:eastAsia="方正仿宋_GB2312" w:cs="方正仿宋_GB2312"/>
                <w:lang w:val="zh-CN" w:eastAsia="zh-CN"/>
              </w:rPr>
            </w:pPr>
            <w:r>
              <w:rPr>
                <w:rFonts w:hint="eastAsia" w:ascii="方正仿宋_GB2312" w:hAnsi="方正仿宋_GB2312" w:eastAsia="方正仿宋_GB2312" w:cs="方正仿宋_GB2312"/>
                <w:lang w:val="zh-CN" w:eastAsia="zh-CN"/>
              </w:rPr>
              <w:t>(万</w:t>
            </w:r>
            <w:r>
              <w:rPr>
                <w:rFonts w:hint="eastAsia" w:ascii="方正仿宋_GB2312" w:hAnsi="方正仿宋_GB2312" w:eastAsia="方正仿宋_GB2312" w:cs="方正仿宋_GB2312"/>
                <w:lang w:val="en-US" w:eastAsia="zh-CN"/>
              </w:rPr>
              <w:t>m³</w:t>
            </w:r>
            <w:r>
              <w:rPr>
                <w:rFonts w:hint="eastAsia" w:ascii="方正仿宋_GB2312" w:hAnsi="方正仿宋_GB2312" w:eastAsia="方正仿宋_GB2312" w:cs="方正仿宋_GB2312"/>
                <w:lang w:val="zh-CN" w:eastAsia="zh-CN"/>
              </w:rPr>
              <w:t>/d)</w:t>
            </w:r>
          </w:p>
        </w:tc>
        <w:tc>
          <w:tcPr>
            <w:tcW w:w="1403" w:type="pct"/>
            <w:noWrap w:val="0"/>
            <w:vAlign w:val="center"/>
          </w:tcPr>
          <w:p w14:paraId="5E5D7308">
            <w:pPr>
              <w:pStyle w:val="9"/>
              <w:bidi w:val="0"/>
              <w:rPr>
                <w:rFonts w:hint="eastAsia" w:ascii="方正仿宋_GB2312" w:hAnsi="方正仿宋_GB2312" w:eastAsia="方正仿宋_GB2312" w:cs="方正仿宋_GB2312"/>
                <w:lang w:val="zh-CN" w:eastAsia="zh-CN"/>
              </w:rPr>
            </w:pPr>
            <w:r>
              <w:rPr>
                <w:rFonts w:hint="eastAsia" w:ascii="方正仿宋_GB2312" w:hAnsi="方正仿宋_GB2312" w:eastAsia="方正仿宋_GB2312" w:cs="方正仿宋_GB2312"/>
                <w:lang w:val="zh-CN" w:eastAsia="zh-CN"/>
              </w:rPr>
              <w:t>远期需水量</w:t>
            </w:r>
          </w:p>
          <w:p w14:paraId="1751ED4A">
            <w:pPr>
              <w:pStyle w:val="9"/>
              <w:bidi w:val="0"/>
              <w:rPr>
                <w:rFonts w:hint="eastAsia" w:ascii="方正仿宋_GB2312" w:hAnsi="方正仿宋_GB2312" w:eastAsia="方正仿宋_GB2312" w:cs="方正仿宋_GB2312"/>
                <w:lang w:val="zh-CN" w:eastAsia="zh-CN"/>
              </w:rPr>
            </w:pPr>
            <w:r>
              <w:rPr>
                <w:rFonts w:hint="eastAsia" w:ascii="方正仿宋_GB2312" w:hAnsi="方正仿宋_GB2312" w:eastAsia="方正仿宋_GB2312" w:cs="方正仿宋_GB2312"/>
                <w:lang w:val="zh-CN" w:eastAsia="zh-CN"/>
              </w:rPr>
              <w:t>(万</w:t>
            </w:r>
            <w:r>
              <w:rPr>
                <w:rFonts w:hint="eastAsia" w:ascii="方正仿宋_GB2312" w:hAnsi="方正仿宋_GB2312" w:eastAsia="方正仿宋_GB2312" w:cs="方正仿宋_GB2312"/>
                <w:lang w:val="en-US" w:eastAsia="zh-CN"/>
              </w:rPr>
              <w:t>m³</w:t>
            </w:r>
            <w:r>
              <w:rPr>
                <w:rFonts w:hint="eastAsia" w:ascii="方正仿宋_GB2312" w:hAnsi="方正仿宋_GB2312" w:eastAsia="方正仿宋_GB2312" w:cs="方正仿宋_GB2312"/>
                <w:lang w:val="zh-CN" w:eastAsia="zh-CN"/>
              </w:rPr>
              <w:t>/d)</w:t>
            </w:r>
          </w:p>
        </w:tc>
      </w:tr>
      <w:tr w14:paraId="196AC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57" w:type="pct"/>
            <w:noWrap w:val="0"/>
            <w:vAlign w:val="center"/>
          </w:tcPr>
          <w:p w14:paraId="70AE5ED3">
            <w:pPr>
              <w:pStyle w:val="9"/>
              <w:bidi w:val="0"/>
              <w:rPr>
                <w:rFonts w:hint="eastAsia" w:ascii="方正仿宋_GB2312" w:hAnsi="方正仿宋_GB2312" w:eastAsia="方正仿宋_GB2312" w:cs="方正仿宋_GB2312"/>
                <w:lang w:val="zh-CN" w:eastAsia="zh-CN"/>
              </w:rPr>
            </w:pPr>
            <w:r>
              <w:rPr>
                <w:rFonts w:hint="eastAsia" w:ascii="方正仿宋_GB2312" w:hAnsi="方正仿宋_GB2312" w:eastAsia="方正仿宋_GB2312" w:cs="方正仿宋_GB2312"/>
                <w:lang w:val="zh-CN" w:eastAsia="zh-CN"/>
              </w:rPr>
              <w:t>1</w:t>
            </w:r>
          </w:p>
        </w:tc>
        <w:tc>
          <w:tcPr>
            <w:tcW w:w="1734" w:type="pct"/>
            <w:noWrap w:val="0"/>
            <w:vAlign w:val="center"/>
          </w:tcPr>
          <w:p w14:paraId="66FBB973">
            <w:pPr>
              <w:pStyle w:val="9"/>
              <w:bidi w:val="0"/>
              <w:rPr>
                <w:rFonts w:hint="eastAsia" w:ascii="方正仿宋_GB2312" w:hAnsi="方正仿宋_GB2312" w:eastAsia="方正仿宋_GB2312" w:cs="方正仿宋_GB2312"/>
                <w:lang w:val="zh-CN" w:eastAsia="zh-CN"/>
              </w:rPr>
            </w:pPr>
            <w:r>
              <w:rPr>
                <w:rFonts w:hint="eastAsia" w:ascii="方正仿宋_GB2312" w:hAnsi="方正仿宋_GB2312" w:eastAsia="方正仿宋_GB2312" w:cs="方正仿宋_GB2312"/>
                <w:lang w:val="zh-CN" w:eastAsia="zh-CN"/>
              </w:rPr>
              <w:t>道路浇洒及绿化用水</w:t>
            </w:r>
          </w:p>
        </w:tc>
        <w:tc>
          <w:tcPr>
            <w:tcW w:w="1403" w:type="pct"/>
            <w:noWrap w:val="0"/>
            <w:vAlign w:val="center"/>
          </w:tcPr>
          <w:p w14:paraId="04948C7D">
            <w:pPr>
              <w:pStyle w:val="9"/>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0.1</w:t>
            </w:r>
          </w:p>
        </w:tc>
        <w:tc>
          <w:tcPr>
            <w:tcW w:w="1403" w:type="pct"/>
            <w:noWrap w:val="0"/>
            <w:vAlign w:val="center"/>
          </w:tcPr>
          <w:p w14:paraId="48D9B6A1">
            <w:pPr>
              <w:pStyle w:val="9"/>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1.1</w:t>
            </w:r>
          </w:p>
        </w:tc>
      </w:tr>
      <w:tr w14:paraId="7720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57" w:type="pct"/>
            <w:noWrap w:val="0"/>
            <w:vAlign w:val="center"/>
          </w:tcPr>
          <w:p w14:paraId="1E32B31F">
            <w:pPr>
              <w:pStyle w:val="9"/>
              <w:bidi w:val="0"/>
              <w:rPr>
                <w:rFonts w:hint="eastAsia" w:ascii="方正仿宋_GB2312" w:hAnsi="方正仿宋_GB2312" w:eastAsia="方正仿宋_GB2312" w:cs="方正仿宋_GB2312"/>
                <w:lang w:val="zh-CN" w:eastAsia="zh-CN"/>
              </w:rPr>
            </w:pPr>
            <w:r>
              <w:rPr>
                <w:rFonts w:hint="eastAsia" w:ascii="方正仿宋_GB2312" w:hAnsi="方正仿宋_GB2312" w:eastAsia="方正仿宋_GB2312" w:cs="方正仿宋_GB2312"/>
                <w:lang w:val="zh-CN" w:eastAsia="zh-CN"/>
              </w:rPr>
              <w:t>2</w:t>
            </w:r>
          </w:p>
        </w:tc>
        <w:tc>
          <w:tcPr>
            <w:tcW w:w="1734" w:type="pct"/>
            <w:noWrap w:val="0"/>
            <w:vAlign w:val="center"/>
          </w:tcPr>
          <w:p w14:paraId="0D125269">
            <w:pPr>
              <w:pStyle w:val="9"/>
              <w:bidi w:val="0"/>
              <w:rPr>
                <w:rFonts w:hint="eastAsia" w:ascii="方正仿宋_GB2312" w:hAnsi="方正仿宋_GB2312" w:eastAsia="方正仿宋_GB2312" w:cs="方正仿宋_GB2312"/>
                <w:lang w:val="zh-CN" w:eastAsia="zh-CN"/>
              </w:rPr>
            </w:pPr>
            <w:r>
              <w:rPr>
                <w:rFonts w:hint="eastAsia" w:ascii="方正仿宋_GB2312" w:hAnsi="方正仿宋_GB2312" w:eastAsia="方正仿宋_GB2312" w:cs="方正仿宋_GB2312"/>
                <w:lang w:val="zh-CN" w:eastAsia="zh-CN"/>
              </w:rPr>
              <w:t>河道景观补充水</w:t>
            </w:r>
          </w:p>
        </w:tc>
        <w:tc>
          <w:tcPr>
            <w:tcW w:w="1403" w:type="pct"/>
            <w:noWrap w:val="0"/>
            <w:vAlign w:val="center"/>
          </w:tcPr>
          <w:p w14:paraId="41BD24AA">
            <w:pPr>
              <w:pStyle w:val="9"/>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2.02</w:t>
            </w:r>
          </w:p>
        </w:tc>
        <w:tc>
          <w:tcPr>
            <w:tcW w:w="1403" w:type="pct"/>
            <w:noWrap w:val="0"/>
            <w:vAlign w:val="center"/>
          </w:tcPr>
          <w:p w14:paraId="11ABAA83">
            <w:pPr>
              <w:pStyle w:val="9"/>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5.47</w:t>
            </w:r>
          </w:p>
        </w:tc>
      </w:tr>
      <w:tr w14:paraId="1580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57" w:type="pct"/>
            <w:noWrap w:val="0"/>
            <w:vAlign w:val="center"/>
          </w:tcPr>
          <w:p w14:paraId="226B689A">
            <w:pPr>
              <w:pStyle w:val="9"/>
              <w:bidi w:val="0"/>
              <w:rPr>
                <w:rFonts w:hint="eastAsia" w:ascii="方正仿宋_GB2312" w:hAnsi="方正仿宋_GB2312" w:eastAsia="方正仿宋_GB2312" w:cs="方正仿宋_GB2312"/>
                <w:lang w:val="zh-CN" w:eastAsia="zh-CN"/>
              </w:rPr>
            </w:pPr>
            <w:r>
              <w:rPr>
                <w:rFonts w:hint="eastAsia" w:ascii="方正仿宋_GB2312" w:hAnsi="方正仿宋_GB2312" w:eastAsia="方正仿宋_GB2312" w:cs="方正仿宋_GB2312"/>
                <w:lang w:val="zh-CN" w:eastAsia="zh-CN"/>
              </w:rPr>
              <w:t>3</w:t>
            </w:r>
          </w:p>
        </w:tc>
        <w:tc>
          <w:tcPr>
            <w:tcW w:w="1734" w:type="pct"/>
            <w:noWrap w:val="0"/>
            <w:vAlign w:val="center"/>
          </w:tcPr>
          <w:p w14:paraId="1E5AD5A2">
            <w:pPr>
              <w:pStyle w:val="9"/>
              <w:bidi w:val="0"/>
              <w:rPr>
                <w:rFonts w:hint="eastAsia" w:ascii="方正仿宋_GB2312" w:hAnsi="方正仿宋_GB2312" w:eastAsia="方正仿宋_GB2312" w:cs="方正仿宋_GB2312"/>
                <w:lang w:val="zh-CN" w:eastAsia="zh-CN"/>
              </w:rPr>
            </w:pPr>
            <w:r>
              <w:rPr>
                <w:rFonts w:hint="eastAsia" w:ascii="方正仿宋_GB2312" w:hAnsi="方正仿宋_GB2312" w:eastAsia="方正仿宋_GB2312" w:cs="方正仿宋_GB2312"/>
                <w:lang w:val="zh-CN" w:eastAsia="zh-CN"/>
              </w:rPr>
              <w:t>工业用水</w:t>
            </w:r>
          </w:p>
        </w:tc>
        <w:tc>
          <w:tcPr>
            <w:tcW w:w="1403" w:type="pct"/>
            <w:noWrap w:val="0"/>
            <w:vAlign w:val="center"/>
          </w:tcPr>
          <w:p w14:paraId="23DDE765">
            <w:pPr>
              <w:pStyle w:val="9"/>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w:t>
            </w:r>
          </w:p>
        </w:tc>
        <w:tc>
          <w:tcPr>
            <w:tcW w:w="1403" w:type="pct"/>
            <w:noWrap w:val="0"/>
            <w:vAlign w:val="center"/>
          </w:tcPr>
          <w:p w14:paraId="28B43BE1">
            <w:pPr>
              <w:pStyle w:val="9"/>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1.43</w:t>
            </w:r>
          </w:p>
        </w:tc>
      </w:tr>
      <w:tr w14:paraId="3CC6A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457" w:type="pct"/>
            <w:noWrap w:val="0"/>
            <w:vAlign w:val="center"/>
          </w:tcPr>
          <w:p w14:paraId="17E9C216">
            <w:pPr>
              <w:pStyle w:val="9"/>
              <w:bidi w:val="0"/>
              <w:rPr>
                <w:rFonts w:hint="eastAsia" w:ascii="方正仿宋_GB2312" w:hAnsi="方正仿宋_GB2312" w:eastAsia="方正仿宋_GB2312" w:cs="方正仿宋_GB2312"/>
                <w:lang w:val="zh-CN" w:eastAsia="zh-CN"/>
              </w:rPr>
            </w:pPr>
            <w:r>
              <w:rPr>
                <w:rFonts w:hint="eastAsia" w:ascii="方正仿宋_GB2312" w:hAnsi="方正仿宋_GB2312" w:eastAsia="方正仿宋_GB2312" w:cs="方正仿宋_GB2312"/>
                <w:lang w:val="zh-CN" w:eastAsia="zh-CN"/>
              </w:rPr>
              <w:t>4</w:t>
            </w:r>
          </w:p>
        </w:tc>
        <w:tc>
          <w:tcPr>
            <w:tcW w:w="1734" w:type="pct"/>
            <w:noWrap w:val="0"/>
            <w:vAlign w:val="center"/>
          </w:tcPr>
          <w:p w14:paraId="42739C7D">
            <w:pPr>
              <w:pStyle w:val="9"/>
              <w:bidi w:val="0"/>
              <w:rPr>
                <w:rFonts w:hint="eastAsia" w:ascii="方正仿宋_GB2312" w:hAnsi="方正仿宋_GB2312" w:eastAsia="方正仿宋_GB2312" w:cs="方正仿宋_GB2312"/>
                <w:lang w:val="zh-CN" w:eastAsia="zh-CN"/>
              </w:rPr>
            </w:pPr>
            <w:r>
              <w:rPr>
                <w:rFonts w:hint="eastAsia" w:ascii="方正仿宋_GB2312" w:hAnsi="方正仿宋_GB2312" w:eastAsia="方正仿宋_GB2312" w:cs="方正仿宋_GB2312"/>
                <w:lang w:val="zh-CN" w:eastAsia="zh-CN"/>
              </w:rPr>
              <w:t>总计</w:t>
            </w:r>
          </w:p>
        </w:tc>
        <w:tc>
          <w:tcPr>
            <w:tcW w:w="1403" w:type="pct"/>
            <w:noWrap w:val="0"/>
            <w:vAlign w:val="center"/>
          </w:tcPr>
          <w:p w14:paraId="7A947BF4">
            <w:pPr>
              <w:pStyle w:val="9"/>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3.12</w:t>
            </w:r>
          </w:p>
        </w:tc>
        <w:tc>
          <w:tcPr>
            <w:tcW w:w="1403" w:type="pct"/>
            <w:noWrap w:val="0"/>
            <w:vAlign w:val="center"/>
          </w:tcPr>
          <w:p w14:paraId="755B2E2B">
            <w:pPr>
              <w:pStyle w:val="9"/>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8</w:t>
            </w:r>
          </w:p>
        </w:tc>
      </w:tr>
    </w:tbl>
    <w:p w14:paraId="28099DD6">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lang w:val="zh-CN"/>
          <w14:textFill>
            <w14:solidFill>
              <w14:schemeClr w14:val="tx1"/>
            </w14:solidFill>
          </w14:textFill>
        </w:rPr>
        <w:t>）再生水利用总体方案</w:t>
      </w:r>
    </w:p>
    <w:p w14:paraId="0E00F137">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1）河道景观水供水方案</w:t>
      </w:r>
    </w:p>
    <w:p w14:paraId="58D1426B">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根据新野县城区现状河道管理情况，本次规划对寨河、农场沟、军民渠河道景观水拟采用多段式补水方式进行补水，补水水源分别由规划新野县再生水厂供给。结合再生水的管网布局，本次规划在农场沟与中兴路交叉口、聚贤街与军民渠交叉口、解放路与寨河交叉口处设置再生水补水口，补给河道景观用水。</w:t>
      </w:r>
    </w:p>
    <w:p w14:paraId="1022CDF2">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2）园林绿化、道路浇洒供水方案</w:t>
      </w:r>
    </w:p>
    <w:p w14:paraId="2AEB6B37">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本次规划拟在城区分散布置园林绿化、道路浇洒用水的集中取水点，浇洒车可从取水点取水后向城区道路及绿化洒水。</w:t>
      </w:r>
    </w:p>
    <w:p w14:paraId="7FCEC6FE">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3）工业供水方案</w:t>
      </w:r>
    </w:p>
    <w:p w14:paraId="6E1ECBFF">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工业主要集中在白河两岸的城市南部，一旦确定工业大用户，可就近从再生水管网、再生水厂或从临近的污水厂调取，以给予该厂区用水水量的保障。</w:t>
      </w:r>
    </w:p>
    <w:p w14:paraId="606C3F94">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lang w:val="zh-CN"/>
          <w14:textFill>
            <w14:solidFill>
              <w14:schemeClr w14:val="tx1"/>
            </w14:solidFill>
          </w14:textFill>
        </w:rPr>
        <w:t>）再生水管网</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系统规划</w:t>
      </w:r>
    </w:p>
    <w:p w14:paraId="425F8733">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城区新建3座再生水厂，河东再生水厂供水规模达5万m³/d，厂址位于城郊乡南张营村，新野县第一污水处理厂西侧；河西再生水厂供水规模达2.5万m³/d，厂址位于第二污水厂厂区内；东北新区再生水厂供水规模达0.5万m³/d，厂址位于东北新区污水厂厂区内。</w:t>
      </w:r>
    </w:p>
    <w:p w14:paraId="3AD2BE73">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城区内再生水管道主要沿人民路、中兴路、大桥路、城南路、聚贤街、三国大道、东滨河路、新野大道、北外环路等道路敷设。</w:t>
      </w:r>
    </w:p>
    <w:p w14:paraId="53D0D087">
      <w:pPr>
        <w:widowControl w:val="0"/>
        <w:overflowPunct w:val="0"/>
        <w:spacing w:line="576" w:lineRule="exact"/>
        <w:ind w:firstLine="643" w:firstLineChars="200"/>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6、水系规划</w:t>
      </w:r>
    </w:p>
    <w:p w14:paraId="62040D5A">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（1）水系总体框架和布局规划</w:t>
      </w:r>
    </w:p>
    <w:p w14:paraId="5C99DE22">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1）规划形成“一带两翼、一城两轴、两环六珠三廊”的水系总体框架和布局结构。</w:t>
      </w:r>
    </w:p>
    <w:p w14:paraId="4C6D11F6">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一带两翼:一条白河生态景观带，沿湍河和三里河形成的城市水系西向和东向的水系拓展翼</w:t>
      </w:r>
    </w:p>
    <w:p w14:paraId="6B295B26">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一城两轴：由护城河环绕形成的新野老城，沿军民渠、运粮河形成东西城区的两条南北向城市水系延伸轴。</w:t>
      </w:r>
    </w:p>
    <w:p w14:paraId="2B1AEF5A">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两环：在河西片区和河东片区由运粮河、军民渠、农场沟、三分干渠形成的大水系环线。</w:t>
      </w:r>
    </w:p>
    <w:p w14:paraId="288EA58C">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六珠：依据城市用地规划的6处城市公园水面。</w:t>
      </w:r>
    </w:p>
    <w:p w14:paraId="2A5A2EDB">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2）水系连通方案</w:t>
      </w:r>
    </w:p>
    <w:p w14:paraId="784DE1C4">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三里沟--农场沟水系连通：</w:t>
      </w:r>
    </w:p>
    <w:p w14:paraId="20BBA44E">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农场沟流域面积较小，现状无生态水源，通过在三里河三国大道处新建提水泵站，用管涵输送至汉华路农场沟上游，为农场沟提供生态水源。</w:t>
      </w:r>
    </w:p>
    <w:p w14:paraId="2B465CAF">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护城河水系修复连通：</w:t>
      </w:r>
    </w:p>
    <w:p w14:paraId="02F54D7E">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现状护城河经久未修，两岸房屋林立，部分河段现已被房屋覆盖，本次通过对护城河的整治，恢复护城河河道功能，使军民渠—护城河—寨河实现连通。</w:t>
      </w:r>
    </w:p>
    <w:p w14:paraId="5E46AFBD">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湍河-运粮河水系连通：</w:t>
      </w:r>
    </w:p>
    <w:p w14:paraId="08172C22">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通过在湍河新建橡胶坝，抬高水位，时水自流入运粮河，为运粮河提供生态水源。</w:t>
      </w:r>
    </w:p>
    <w:p w14:paraId="32CE33FF">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（2）水面规划</w:t>
      </w:r>
    </w:p>
    <w:p w14:paraId="56B37C60">
      <w:pPr>
        <w:widowControl w:val="0"/>
        <w:overflowPunct w:val="0"/>
        <w:spacing w:line="576" w:lineRule="exact"/>
        <w:ind w:firstLine="960" w:firstLineChars="300"/>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河道规划</w:t>
      </w:r>
    </w:p>
    <w:p w14:paraId="6ECA2ADB">
      <w:pPr>
        <w:widowControl w:val="0"/>
        <w:overflowPunct w:val="0"/>
        <w:spacing w:line="576" w:lineRule="exact"/>
        <w:ind w:firstLine="640" w:firstLineChars="200"/>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sz w:val="32"/>
          <w:szCs w:val="32"/>
          <w:lang w:val="en-US" w:eastAsia="zh-CN"/>
          <w14:textFill>
            <w14:solidFill>
              <w14:schemeClr w14:val="tx1"/>
            </w14:solidFill>
          </w14:textFill>
        </w:rPr>
        <w:t>白河、三里河、军民渠、护城河、寨河、农场沟、运粮河、锦塘河、八角堤共计9条水系在承担生态景观功能的同时，兼顾排涝、退水任务；规划的人工水系及景观湖面，主要功能为景观及生态，兼顾滞洪、排涝，通过现状河渠相互连通。在军民渠、护城河、寨河、农场沟、运粮河上规划拦蓄建筑物形成景观水面，汛期畅泄行洪，退水最终汇入白河。</w:t>
      </w:r>
    </w:p>
    <w:p w14:paraId="6AEB5FE2">
      <w:pPr>
        <w:widowControl w:val="0"/>
        <w:overflowPunct w:val="0"/>
        <w:spacing w:line="576" w:lineRule="exact"/>
        <w:ind w:firstLine="640" w:firstLineChars="200"/>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河</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渠</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规划</w:t>
      </w:r>
    </w:p>
    <w:p w14:paraId="2621DD19">
      <w:pPr>
        <w:widowControl w:val="0"/>
        <w:overflowPunct w:val="0"/>
        <w:spacing w:line="576" w:lineRule="exact"/>
        <w:ind w:firstLine="640" w:firstLineChars="200"/>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sz w:val="32"/>
          <w:szCs w:val="32"/>
          <w:lang w:val="en-US" w:eastAsia="zh-CN"/>
          <w14:textFill>
            <w14:solidFill>
              <w14:schemeClr w14:val="tx1"/>
            </w14:solidFill>
          </w14:textFill>
        </w:rPr>
        <w:t>规划范围内现主要有三分干渠1条渠道，现状渠系布局基本合理，规划对渠道进行局部改造。</w:t>
      </w:r>
    </w:p>
    <w:p w14:paraId="79DFDF51">
      <w:pPr>
        <w:widowControl w:val="0"/>
        <w:overflowPunct w:val="0"/>
        <w:spacing w:line="576" w:lineRule="exact"/>
        <w:ind w:firstLine="640" w:firstLineChars="200"/>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湿地公园规划</w:t>
      </w:r>
    </w:p>
    <w:p w14:paraId="74D1C5F7">
      <w:pPr>
        <w:widowControl w:val="0"/>
        <w:overflowPunct w:val="0"/>
        <w:spacing w:line="576" w:lineRule="exact"/>
        <w:ind w:firstLine="640" w:firstLineChars="200"/>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sz w:val="32"/>
          <w:szCs w:val="32"/>
          <w:lang w:val="en-US" w:eastAsia="zh-CN"/>
          <w14:textFill>
            <w14:solidFill>
              <w14:schemeClr w14:val="tx1"/>
            </w14:solidFill>
          </w14:textFill>
        </w:rPr>
        <w:t>综合考虑水系布局和地形地势、用地规划等实际情况，规划湿地6处，分别为光武公园、卧龙公园、中兴公园、解放公园、兴乐公园和三分公园。</w:t>
      </w:r>
    </w:p>
    <w:p w14:paraId="68A08E0D">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（3）城市水系景观环境规划</w:t>
      </w:r>
    </w:p>
    <w:p w14:paraId="3BD06CE6">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1）水环境保护规划</w:t>
      </w:r>
    </w:p>
    <w:p w14:paraId="00F404B4">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新野县中心城区白河河道宽度必须依据水利、建设部门的要求，不低于80-100m，中心城区段白河已硬化的河段维持现状为主，不做规划调整，可适当进行景观改造和提升，但不得缩减行洪断面。</w:t>
      </w:r>
    </w:p>
    <w:p w14:paraId="6EBAE125">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三里河蓝线控制最低50m，运粮河蓝线控制最低30m，军民渠、农场沟、寨河、锦塘河、八角堤等水系蓝线控制可根据实际建设情况和空间规划情况，划定适宜蓝线控制线，一般控制在10~20m。</w:t>
      </w:r>
    </w:p>
    <w:p w14:paraId="3D9F3FD7">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2）水景观功能分区结构</w:t>
      </w:r>
    </w:p>
    <w:p w14:paraId="65F322E2">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规划结合城区水系的自然形态和布局特点，保护生态基质，构筑绿水廊道、滨水空间等人水和谐的水系生态格局，形成 “两轴五岸、两脉六珠、”的城市水景观结构框架。</w:t>
      </w:r>
    </w:p>
    <w:p w14:paraId="6C17B53C">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两轴——两条文化展示轴：</w:t>
      </w:r>
    </w:p>
    <w:p w14:paraId="173DBDCF">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白河生态文化轴——结合现有的白河景观设计，对白河景观进行提升打造，设置文化展示节点沿白河形成城市滨水生态绿带，展示新野丰富的传统文化风貌和良好的生态景观。</w:t>
      </w:r>
    </w:p>
    <w:p w14:paraId="2406FF8A">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三里河城市休闲轴——沿三里河形成活力休闲水岸，凸显新野高品质的现代城市形象。</w:t>
      </w:r>
    </w:p>
    <w:p w14:paraId="2E3795D3">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五岸——五个形象展示舞台：</w:t>
      </w:r>
    </w:p>
    <w:p w14:paraId="17D6E382">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通过新野两条水系大动脉白河和三里河的相互连通规划，通过规划加快岸线的景观改造和治理，强化滨水生态绿廊建设，以大尺度、大气势的生态景观绿化为特色，形成白河生态休闲水岸、现代活力水岸、特色文化水岸、城市宜居水岸以及三里河商务休闲水岸五个不同主题和风貌的水系特色空间。</w:t>
      </w:r>
    </w:p>
    <w:p w14:paraId="6E0F70D2">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两脉——两条城市活力水脉：以贯通城区的几条城市内河军民渠、寨河、运粮河三条水系为依托，形成贯穿整个中心城区的生态人文活力水脉；以军民渠、护城河、寨河水系互连互通为基础，展示新野地域文化特色为主题的，激活老城滨水休闲活力的人文特色展示功能橙脉；以串联白河和湍河的运粮河水系景观设计为依托的，以展示绿城自然之美和乡野之美，回归乡野，体验自然生态为主导功能的蓝脉。</w:t>
      </w:r>
    </w:p>
    <w:p w14:paraId="529CDAB1">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六珠——六个特色公园：规划结合城市总体规划及城市绿地系统规划中的公园绿地体系，形成6个特色主题公园，分别为光武公园、卧龙公园、中兴公园、解放公园、兴乐公园、三分公园，以传统的园林景观设计为主体，将现代园林与传统文化结合起来，通过城市内河水系的串联形成七大特色绿地公园体系。</w:t>
      </w:r>
    </w:p>
    <w:p w14:paraId="0EF02F4B">
      <w:pPr>
        <w:widowControl w:val="0"/>
        <w:overflowPunct w:val="0"/>
        <w:spacing w:line="576" w:lineRule="exact"/>
        <w:ind w:firstLine="640" w:firstLineChars="200"/>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（4） </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城市水系防洪排涝工程规划</w:t>
      </w:r>
    </w:p>
    <w:p w14:paraId="0A09A4E6">
      <w:pPr>
        <w:widowControl w:val="0"/>
        <w:overflowPunct w:val="0"/>
        <w:spacing w:line="576" w:lineRule="exact"/>
        <w:ind w:firstLine="640" w:firstLineChars="200"/>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sz w:val="32"/>
          <w:szCs w:val="32"/>
          <w:lang w:val="en-US" w:eastAsia="zh-CN"/>
          <w14:textFill>
            <w14:solidFill>
              <w14:schemeClr w14:val="tx1"/>
            </w14:solidFill>
          </w14:textFill>
        </w:rPr>
        <w:t>新野县中心城区按照50年一遇的防洪标准进行防洪建设，巩固堤防、修整边坡、疏通河道、治理险工，保证行洪泄洪能力。</w:t>
      </w:r>
    </w:p>
    <w:p w14:paraId="059569F9">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新野县中心城区排涝河道主要为三里河、军民渠、护城河、寨河、农场沟、运粮河、锦塘河、八角堤等，根据《治涝标准》（SL723-2016）、《新野县国土空间总体规划（2021-2035）》，在新野县中心城区范围内，按照20年一遇的内涝防治标准建设排涝系统，加强易涝点的治理，结合河流水系、绿地广场、城市道路、居住区和建筑推进海绵城市建设。</w:t>
      </w:r>
    </w:p>
    <w:p w14:paraId="461A17C0">
      <w:pPr>
        <w:widowControl w:val="0"/>
        <w:overflowPunct w:val="0"/>
        <w:spacing w:line="576" w:lineRule="exact"/>
        <w:ind w:firstLine="643" w:firstLineChars="200"/>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7、分期建设及计划</w:t>
      </w:r>
    </w:p>
    <w:p w14:paraId="44029FB7">
      <w:pPr>
        <w:widowControl w:val="0"/>
        <w:overflowPunct w:val="0"/>
        <w:spacing w:line="576" w:lineRule="exact"/>
        <w:ind w:firstLine="640" w:firstLineChars="200"/>
        <w:rPr>
          <w:rFonts w:hint="eastAsia"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根据国家及省十</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五</w:t>
      </w:r>
      <w:r>
        <w:rPr>
          <w:rFonts w:hint="eastAsia" w:ascii="仿宋_GB2312" w:hAnsi="仿宋_GB2312" w:eastAsia="仿宋_GB2312" w:cs="仿宋_GB2312"/>
          <w:color w:val="000000" w:themeColor="text1"/>
          <w:sz w:val="32"/>
          <w:szCs w:val="32"/>
          <w:lang w:val="zh-CN"/>
          <w14:textFill>
            <w14:solidFill>
              <w14:schemeClr w14:val="tx1"/>
            </w14:solidFill>
          </w14:textFill>
        </w:rPr>
        <w:t>五期间的目标及任务要求，结合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中心城区排水</w:t>
      </w:r>
      <w:r>
        <w:rPr>
          <w:rFonts w:hint="eastAsia" w:ascii="仿宋_GB2312" w:hAnsi="仿宋_GB2312" w:eastAsia="仿宋_GB2312" w:cs="仿宋_GB2312"/>
          <w:color w:val="000000" w:themeColor="text1"/>
          <w:sz w:val="32"/>
          <w:szCs w:val="32"/>
          <w:lang w:val="zh-CN"/>
          <w14:textFill>
            <w14:solidFill>
              <w14:schemeClr w14:val="tx1"/>
            </w14:solidFill>
          </w14:textFill>
        </w:rPr>
        <w:t>系统存在短板</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及</w:t>
      </w:r>
      <w:r>
        <w:rPr>
          <w:rFonts w:hint="eastAsia" w:ascii="仿宋_GB2312" w:hAnsi="仿宋_GB2312" w:eastAsia="仿宋_GB2312" w:cs="仿宋_GB2312"/>
          <w:color w:val="000000" w:themeColor="text1"/>
          <w:sz w:val="32"/>
          <w:szCs w:val="32"/>
          <w:lang w:val="zh-CN"/>
          <w14:textFill>
            <w14:solidFill>
              <w14:schemeClr w14:val="tx1"/>
            </w14:solidFill>
          </w14:textFill>
        </w:rPr>
        <w:t>市政道路建设计划，按照工程内容的紧迫性和近期可实施性制定</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排水</w:t>
      </w:r>
      <w:r>
        <w:rPr>
          <w:rFonts w:hint="eastAsia" w:ascii="仿宋_GB2312" w:hAnsi="仿宋_GB2312" w:eastAsia="仿宋_GB2312" w:cs="仿宋_GB2312"/>
          <w:color w:val="000000" w:themeColor="text1"/>
          <w:sz w:val="32"/>
          <w:szCs w:val="32"/>
          <w:lang w:val="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防洪排涝</w:t>
      </w:r>
      <w:r>
        <w:rPr>
          <w:rFonts w:hint="eastAsia" w:ascii="仿宋_GB2312" w:hAnsi="仿宋_GB2312" w:eastAsia="仿宋_GB2312" w:cs="仿宋_GB2312"/>
          <w:color w:val="000000" w:themeColor="text1"/>
          <w:sz w:val="32"/>
          <w:szCs w:val="32"/>
          <w:lang w:val="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水系</w:t>
      </w:r>
      <w:r>
        <w:rPr>
          <w:rFonts w:hint="eastAsia" w:ascii="仿宋_GB2312" w:hAnsi="仿宋_GB2312" w:eastAsia="仿宋_GB2312" w:cs="仿宋_GB2312"/>
          <w:color w:val="000000" w:themeColor="text1"/>
          <w:sz w:val="32"/>
          <w:szCs w:val="32"/>
          <w:lang w:val="zh-CN"/>
          <w14:textFill>
            <w14:solidFill>
              <w14:schemeClr w14:val="tx1"/>
            </w14:solidFill>
          </w14:textFill>
        </w:rPr>
        <w:t>工程近期建设计划。</w:t>
      </w:r>
    </w:p>
    <w:p w14:paraId="638755B4">
      <w:pPr>
        <w:pStyle w:val="5"/>
        <w:ind w:left="0" w:leftChars="0" w:firstLine="0" w:firstLineChars="0"/>
        <w:rPr>
          <w:rFonts w:hint="eastAsia" w:ascii="仿宋_GB2312" w:hAnsi="华文楷体" w:eastAsia="仿宋_GB2312" w:cs="Times New Roman"/>
          <w:kern w:val="2"/>
          <w:sz w:val="32"/>
          <w:szCs w:val="24"/>
          <w:lang w:val="en-US" w:eastAsia="zh-CN" w:bidi="ar-SA"/>
        </w:rPr>
      </w:pPr>
    </w:p>
    <w:p w14:paraId="1685A9C1">
      <w:pPr>
        <w:pStyle w:val="5"/>
        <w:ind w:left="0" w:leftChars="0" w:firstLine="0" w:firstLineChars="0"/>
        <w:rPr>
          <w:rFonts w:hint="eastAsia" w:ascii="仿宋_GB2312" w:hAnsi="华文楷体" w:eastAsia="仿宋_GB2312" w:cs="Times New Roman"/>
          <w:kern w:val="2"/>
          <w:sz w:val="32"/>
          <w:szCs w:val="24"/>
          <w:lang w:val="en-US" w:eastAsia="zh-CN" w:bidi="ar-SA"/>
        </w:rPr>
      </w:pPr>
    </w:p>
    <w:p w14:paraId="2C1A6039">
      <w:pPr>
        <w:pStyle w:val="5"/>
        <w:ind w:left="0" w:leftChars="0" w:firstLine="0" w:firstLineChars="0"/>
        <w:rPr>
          <w:rFonts w:hint="eastAsia" w:ascii="仿宋_GB2312" w:hAnsi="华文楷体" w:eastAsia="仿宋_GB2312" w:cs="Times New Roman"/>
          <w:kern w:val="2"/>
          <w:sz w:val="32"/>
          <w:szCs w:val="24"/>
          <w:lang w:val="en-US" w:eastAsia="zh-CN" w:bidi="ar-SA"/>
        </w:rPr>
      </w:pPr>
    </w:p>
    <w:p w14:paraId="160E5DB1">
      <w:pPr>
        <w:pStyle w:val="5"/>
        <w:ind w:left="0" w:leftChars="0" w:firstLine="0" w:firstLineChars="0"/>
        <w:rPr>
          <w:rFonts w:hint="eastAsia" w:ascii="仿宋_GB2312" w:hAnsi="华文楷体" w:eastAsia="仿宋_GB2312" w:cs="Times New Roman"/>
          <w:kern w:val="2"/>
          <w:sz w:val="32"/>
          <w:szCs w:val="24"/>
          <w:lang w:val="en-US" w:eastAsia="zh-CN" w:bidi="ar-SA"/>
        </w:rPr>
      </w:pPr>
    </w:p>
    <w:p w14:paraId="62122150">
      <w:pPr>
        <w:pStyle w:val="5"/>
        <w:ind w:left="0" w:leftChars="0" w:firstLine="0" w:firstLineChars="0"/>
        <w:rPr>
          <w:rFonts w:hint="eastAsia" w:ascii="仿宋_GB2312" w:hAnsi="华文楷体" w:eastAsia="仿宋_GB2312" w:cs="Times New Roman"/>
          <w:kern w:val="2"/>
          <w:sz w:val="32"/>
          <w:szCs w:val="24"/>
          <w:lang w:val="en-US" w:eastAsia="zh-CN" w:bidi="ar-SA"/>
        </w:rPr>
      </w:pPr>
    </w:p>
    <w:p w14:paraId="00E17F07">
      <w:pPr>
        <w:pStyle w:val="5"/>
        <w:ind w:left="0" w:leftChars="0" w:firstLine="0" w:firstLineChars="0"/>
        <w:rPr>
          <w:rFonts w:hint="eastAsia" w:ascii="仿宋_GB2312" w:hAnsi="华文楷体" w:eastAsia="仿宋_GB2312" w:cs="Times New Roman"/>
          <w:kern w:val="2"/>
          <w:sz w:val="32"/>
          <w:szCs w:val="24"/>
          <w:lang w:val="en-US" w:eastAsia="zh-CN" w:bidi="ar-SA"/>
        </w:rPr>
      </w:pPr>
    </w:p>
    <w:p w14:paraId="7F93ACEB">
      <w:pPr>
        <w:pStyle w:val="5"/>
        <w:ind w:left="0" w:leftChars="0" w:firstLine="0" w:firstLineChars="0"/>
        <w:rPr>
          <w:rFonts w:hint="eastAsia" w:ascii="仿宋_GB2312" w:hAnsi="华文楷体" w:eastAsia="仿宋_GB2312" w:cs="Times New Roman"/>
          <w:kern w:val="2"/>
          <w:sz w:val="32"/>
          <w:szCs w:val="24"/>
          <w:lang w:val="en-US" w:eastAsia="zh-CN" w:bidi="ar-SA"/>
        </w:rPr>
      </w:pPr>
    </w:p>
    <w:p w14:paraId="7E4A933F">
      <w:pPr>
        <w:pStyle w:val="5"/>
        <w:ind w:left="0" w:leftChars="0" w:firstLine="0" w:firstLineChars="0"/>
        <w:rPr>
          <w:rFonts w:hint="eastAsia" w:ascii="仿宋_GB2312" w:hAnsi="华文楷体" w:eastAsia="仿宋_GB2312" w:cs="Times New Roman"/>
          <w:kern w:val="2"/>
          <w:sz w:val="32"/>
          <w:szCs w:val="24"/>
          <w:lang w:val="en-US" w:eastAsia="zh-CN" w:bidi="ar-SA"/>
        </w:rPr>
      </w:pPr>
    </w:p>
    <w:p w14:paraId="3E4AA8B6">
      <w:pPr>
        <w:pStyle w:val="5"/>
        <w:ind w:left="0" w:leftChars="0" w:firstLine="0" w:firstLineChars="0"/>
        <w:rPr>
          <w:rFonts w:hint="eastAsia" w:ascii="仿宋_GB2312" w:hAnsi="华文楷体" w:eastAsia="仿宋_GB2312" w:cs="Times New Roman"/>
          <w:kern w:val="2"/>
          <w:sz w:val="32"/>
          <w:szCs w:val="24"/>
          <w:lang w:val="en-US" w:eastAsia="zh-CN" w:bidi="ar-SA"/>
        </w:rPr>
      </w:pPr>
    </w:p>
    <w:p w14:paraId="72EB3379">
      <w:pPr>
        <w:pStyle w:val="5"/>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附图</w:t>
      </w:r>
    </w:p>
    <w:p w14:paraId="28CF2C31">
      <w:pPr>
        <w:pStyle w:val="5"/>
        <w:rPr>
          <w:rFonts w:hint="eastAsia" w:ascii="仿宋_GB2312" w:hAnsi="华文楷体" w:eastAsia="仿宋_GB2312" w:cs="Times New Roman"/>
          <w:kern w:val="2"/>
          <w:sz w:val="32"/>
          <w:szCs w:val="24"/>
          <w:lang w:val="en-US" w:eastAsia="zh-CN" w:bidi="ar-SA"/>
        </w:rPr>
      </w:pPr>
      <w:r>
        <w:rPr>
          <w:rFonts w:hint="eastAsia" w:ascii="仿宋_GB2312" w:hAnsi="华文楷体" w:eastAsia="仿宋_GB2312" w:cs="Times New Roman"/>
          <w:kern w:val="2"/>
          <w:sz w:val="32"/>
          <w:szCs w:val="24"/>
          <w:lang w:val="en-US" w:eastAsia="zh-CN" w:bidi="ar-SA"/>
        </w:rPr>
        <w:t>附图1</w:t>
      </w:r>
      <w:r>
        <w:rPr>
          <w:rFonts w:hint="eastAsia" w:cs="Times New Roman"/>
          <w:kern w:val="2"/>
          <w:sz w:val="32"/>
          <w:szCs w:val="24"/>
          <w:lang w:val="en-US" w:eastAsia="zh-CN" w:bidi="ar-SA"/>
        </w:rPr>
        <w:t>：污水分区</w:t>
      </w:r>
      <w:r>
        <w:rPr>
          <w:rFonts w:hint="eastAsia" w:ascii="仿宋_GB2312" w:hAnsi="华文楷体" w:eastAsia="仿宋_GB2312" w:cs="Times New Roman"/>
          <w:kern w:val="2"/>
          <w:sz w:val="32"/>
          <w:szCs w:val="24"/>
          <w:lang w:val="en-US" w:eastAsia="zh-CN" w:bidi="ar-SA"/>
        </w:rPr>
        <w:t>规划图</w:t>
      </w:r>
    </w:p>
    <w:p w14:paraId="7798FAFE">
      <w:pPr>
        <w:pStyle w:val="5"/>
        <w:rPr>
          <w:rFonts w:hint="eastAsia" w:ascii="仿宋_GB2312" w:hAnsi="华文楷体" w:eastAsia="仿宋_GB2312" w:cs="Times New Roman"/>
          <w:kern w:val="2"/>
          <w:sz w:val="32"/>
          <w:szCs w:val="24"/>
          <w:lang w:val="en-US" w:eastAsia="zh-CN" w:bidi="ar-SA"/>
        </w:rPr>
      </w:pPr>
      <w:r>
        <w:rPr>
          <w:rFonts w:hint="eastAsia" w:ascii="仿宋_GB2312" w:hAnsi="华文楷体" w:eastAsia="仿宋_GB2312" w:cs="Times New Roman"/>
          <w:kern w:val="2"/>
          <w:sz w:val="32"/>
          <w:szCs w:val="24"/>
          <w:lang w:val="en-US" w:eastAsia="zh-CN" w:bidi="ar-SA"/>
        </w:rPr>
        <w:t>附图</w:t>
      </w:r>
      <w:r>
        <w:rPr>
          <w:rFonts w:hint="eastAsia" w:cs="Times New Roman"/>
          <w:kern w:val="2"/>
          <w:sz w:val="32"/>
          <w:szCs w:val="24"/>
          <w:lang w:val="en-US" w:eastAsia="zh-CN" w:bidi="ar-SA"/>
        </w:rPr>
        <w:t>2：污水管网</w:t>
      </w:r>
      <w:r>
        <w:rPr>
          <w:rFonts w:hint="eastAsia" w:ascii="仿宋_GB2312" w:hAnsi="华文楷体" w:eastAsia="仿宋_GB2312" w:cs="Times New Roman"/>
          <w:kern w:val="2"/>
          <w:sz w:val="32"/>
          <w:szCs w:val="24"/>
          <w:lang w:val="en-US" w:eastAsia="zh-CN" w:bidi="ar-SA"/>
        </w:rPr>
        <w:t>规划图</w:t>
      </w:r>
    </w:p>
    <w:p w14:paraId="7BE3AC30">
      <w:pPr>
        <w:pStyle w:val="5"/>
        <w:rPr>
          <w:rFonts w:hint="eastAsia" w:ascii="仿宋_GB2312" w:hAnsi="华文楷体" w:eastAsia="仿宋_GB2312" w:cs="Times New Roman"/>
          <w:kern w:val="2"/>
          <w:sz w:val="32"/>
          <w:szCs w:val="24"/>
          <w:lang w:val="en-US" w:eastAsia="zh-CN" w:bidi="ar-SA"/>
        </w:rPr>
      </w:pPr>
      <w:r>
        <w:rPr>
          <w:rFonts w:hint="eastAsia" w:ascii="仿宋_GB2312" w:hAnsi="华文楷体" w:eastAsia="仿宋_GB2312" w:cs="Times New Roman"/>
          <w:kern w:val="2"/>
          <w:sz w:val="32"/>
          <w:szCs w:val="24"/>
          <w:lang w:val="en-US" w:eastAsia="zh-CN" w:bidi="ar-SA"/>
        </w:rPr>
        <w:t>附图</w:t>
      </w:r>
      <w:r>
        <w:rPr>
          <w:rFonts w:hint="eastAsia" w:cs="Times New Roman"/>
          <w:kern w:val="2"/>
          <w:sz w:val="32"/>
          <w:szCs w:val="24"/>
          <w:lang w:val="en-US" w:eastAsia="zh-CN" w:bidi="ar-SA"/>
        </w:rPr>
        <w:t>3：雨水分区</w:t>
      </w:r>
      <w:r>
        <w:rPr>
          <w:rFonts w:hint="eastAsia" w:ascii="仿宋_GB2312" w:hAnsi="华文楷体" w:eastAsia="仿宋_GB2312" w:cs="Times New Roman"/>
          <w:kern w:val="2"/>
          <w:sz w:val="32"/>
          <w:szCs w:val="24"/>
          <w:lang w:val="en-US" w:eastAsia="zh-CN" w:bidi="ar-SA"/>
        </w:rPr>
        <w:t>规划图</w:t>
      </w:r>
    </w:p>
    <w:p w14:paraId="3200F1B1">
      <w:pPr>
        <w:pStyle w:val="5"/>
        <w:rPr>
          <w:rFonts w:hint="eastAsia" w:ascii="仿宋_GB2312" w:hAnsi="华文楷体" w:eastAsia="仿宋_GB2312" w:cs="Times New Roman"/>
          <w:kern w:val="2"/>
          <w:sz w:val="32"/>
          <w:szCs w:val="24"/>
          <w:lang w:val="en-US" w:eastAsia="zh-CN" w:bidi="ar-SA"/>
        </w:rPr>
      </w:pPr>
      <w:r>
        <w:rPr>
          <w:rFonts w:hint="eastAsia" w:ascii="仿宋_GB2312" w:hAnsi="华文楷体" w:eastAsia="仿宋_GB2312" w:cs="Times New Roman"/>
          <w:kern w:val="2"/>
          <w:sz w:val="32"/>
          <w:szCs w:val="24"/>
          <w:lang w:val="en-US" w:eastAsia="zh-CN" w:bidi="ar-SA"/>
        </w:rPr>
        <w:t>附图</w:t>
      </w:r>
      <w:r>
        <w:rPr>
          <w:rFonts w:hint="eastAsia" w:cs="Times New Roman"/>
          <w:kern w:val="2"/>
          <w:sz w:val="32"/>
          <w:szCs w:val="24"/>
          <w:lang w:val="en-US" w:eastAsia="zh-CN" w:bidi="ar-SA"/>
        </w:rPr>
        <w:t>4：雨水管网</w:t>
      </w:r>
      <w:r>
        <w:rPr>
          <w:rFonts w:hint="eastAsia" w:ascii="仿宋_GB2312" w:hAnsi="华文楷体" w:eastAsia="仿宋_GB2312" w:cs="Times New Roman"/>
          <w:kern w:val="2"/>
          <w:sz w:val="32"/>
          <w:szCs w:val="24"/>
          <w:lang w:val="en-US" w:eastAsia="zh-CN" w:bidi="ar-SA"/>
        </w:rPr>
        <w:t>规划图</w:t>
      </w:r>
    </w:p>
    <w:p w14:paraId="09553C5D">
      <w:pPr>
        <w:pStyle w:val="5"/>
        <w:rPr>
          <w:rFonts w:hint="eastAsia" w:ascii="仿宋_GB2312" w:hAnsi="华文楷体" w:eastAsia="仿宋_GB2312" w:cs="Times New Roman"/>
          <w:kern w:val="2"/>
          <w:sz w:val="32"/>
          <w:szCs w:val="24"/>
          <w:lang w:val="en-US" w:eastAsia="zh-CN" w:bidi="ar-SA"/>
        </w:rPr>
      </w:pPr>
      <w:r>
        <w:rPr>
          <w:rFonts w:hint="eastAsia" w:ascii="仿宋_GB2312" w:hAnsi="华文楷体" w:eastAsia="仿宋_GB2312" w:cs="Times New Roman"/>
          <w:kern w:val="2"/>
          <w:sz w:val="32"/>
          <w:szCs w:val="24"/>
          <w:lang w:val="en-US" w:eastAsia="zh-CN" w:bidi="ar-SA"/>
        </w:rPr>
        <w:t>附图</w:t>
      </w:r>
      <w:r>
        <w:rPr>
          <w:rFonts w:hint="eastAsia" w:cs="Times New Roman"/>
          <w:kern w:val="2"/>
          <w:sz w:val="32"/>
          <w:szCs w:val="24"/>
          <w:lang w:val="en-US" w:eastAsia="zh-CN" w:bidi="ar-SA"/>
        </w:rPr>
        <w:t>5：排水设施布局</w:t>
      </w:r>
      <w:r>
        <w:rPr>
          <w:rFonts w:hint="eastAsia" w:ascii="仿宋_GB2312" w:hAnsi="华文楷体" w:eastAsia="仿宋_GB2312" w:cs="Times New Roman"/>
          <w:kern w:val="2"/>
          <w:sz w:val="32"/>
          <w:szCs w:val="24"/>
          <w:lang w:val="en-US" w:eastAsia="zh-CN" w:bidi="ar-SA"/>
        </w:rPr>
        <w:t>规划图</w:t>
      </w:r>
    </w:p>
    <w:p w14:paraId="52F19834">
      <w:pPr>
        <w:pStyle w:val="5"/>
        <w:rPr>
          <w:rFonts w:hint="eastAsia" w:ascii="仿宋_GB2312" w:hAnsi="华文楷体" w:eastAsia="仿宋_GB2312" w:cs="Times New Roman"/>
          <w:kern w:val="2"/>
          <w:sz w:val="32"/>
          <w:szCs w:val="24"/>
          <w:lang w:val="en-US" w:eastAsia="zh-CN" w:bidi="ar-SA"/>
        </w:rPr>
      </w:pPr>
      <w:r>
        <w:rPr>
          <w:rFonts w:hint="eastAsia" w:ascii="仿宋_GB2312" w:hAnsi="华文楷体" w:eastAsia="仿宋_GB2312" w:cs="Times New Roman"/>
          <w:kern w:val="2"/>
          <w:sz w:val="32"/>
          <w:szCs w:val="24"/>
          <w:lang w:val="en-US" w:eastAsia="zh-CN" w:bidi="ar-SA"/>
        </w:rPr>
        <w:t>附图</w:t>
      </w:r>
      <w:r>
        <w:rPr>
          <w:rFonts w:hint="eastAsia" w:cs="Times New Roman"/>
          <w:kern w:val="2"/>
          <w:sz w:val="32"/>
          <w:szCs w:val="24"/>
          <w:lang w:val="en-US" w:eastAsia="zh-CN" w:bidi="ar-SA"/>
        </w:rPr>
        <w:t>6：再生水利用工程规划</w:t>
      </w:r>
    </w:p>
    <w:p w14:paraId="3B63B302">
      <w:pPr>
        <w:pStyle w:val="5"/>
        <w:rPr>
          <w:rFonts w:hint="eastAsia" w:ascii="仿宋_GB2312" w:hAnsi="华文楷体" w:eastAsia="仿宋_GB2312" w:cs="Times New Roman"/>
          <w:kern w:val="2"/>
          <w:sz w:val="32"/>
          <w:szCs w:val="24"/>
          <w:lang w:val="en-US" w:eastAsia="zh-CN" w:bidi="ar-SA"/>
        </w:rPr>
      </w:pPr>
      <w:r>
        <w:rPr>
          <w:rFonts w:hint="eastAsia" w:ascii="仿宋_GB2312" w:hAnsi="华文楷体" w:eastAsia="仿宋_GB2312" w:cs="Times New Roman"/>
          <w:kern w:val="2"/>
          <w:sz w:val="32"/>
          <w:szCs w:val="24"/>
          <w:lang w:val="en-US" w:eastAsia="zh-CN" w:bidi="ar-SA"/>
        </w:rPr>
        <w:t>附图</w:t>
      </w:r>
      <w:r>
        <w:rPr>
          <w:rFonts w:hint="eastAsia" w:cs="Times New Roman"/>
          <w:kern w:val="2"/>
          <w:sz w:val="32"/>
          <w:szCs w:val="24"/>
          <w:lang w:val="en-US" w:eastAsia="zh-CN" w:bidi="ar-SA"/>
        </w:rPr>
        <w:t>7：水系功能定位规划</w:t>
      </w:r>
    </w:p>
    <w:p w14:paraId="10D2CC2D">
      <w:pPr>
        <w:pStyle w:val="5"/>
        <w:rPr>
          <w:rFonts w:hint="eastAsia" w:ascii="仿宋_GB2312" w:hAnsi="华文楷体" w:eastAsia="仿宋_GB2312" w:cs="Times New Roman"/>
          <w:kern w:val="2"/>
          <w:sz w:val="32"/>
          <w:szCs w:val="24"/>
          <w:lang w:val="en-US" w:eastAsia="zh-CN" w:bidi="ar-SA"/>
        </w:rPr>
        <w:sectPr>
          <w:pgSz w:w="11906" w:h="16838"/>
          <w:pgMar w:top="1440" w:right="1706" w:bottom="1440" w:left="1800" w:header="851" w:footer="992" w:gutter="0"/>
          <w:cols w:space="425" w:num="1"/>
          <w:docGrid w:type="lines" w:linePitch="312" w:charSpace="0"/>
        </w:sectPr>
      </w:pPr>
      <w:r>
        <w:rPr>
          <w:rFonts w:hint="eastAsia" w:ascii="仿宋_GB2312" w:hAnsi="华文楷体" w:eastAsia="仿宋_GB2312" w:cs="Times New Roman"/>
          <w:kern w:val="2"/>
          <w:sz w:val="32"/>
          <w:szCs w:val="24"/>
          <w:lang w:val="en-US" w:eastAsia="zh-CN" w:bidi="ar-SA"/>
        </w:rPr>
        <w:t>附图</w:t>
      </w:r>
      <w:r>
        <w:rPr>
          <w:rFonts w:hint="eastAsia" w:cs="Times New Roman"/>
          <w:kern w:val="2"/>
          <w:sz w:val="32"/>
          <w:szCs w:val="24"/>
          <w:lang w:val="en-US" w:eastAsia="zh-CN" w:bidi="ar-SA"/>
        </w:rPr>
        <w:t>8：水安全设施布局规划</w:t>
      </w:r>
    </w:p>
    <w:p w14:paraId="5C036B30">
      <w:pPr>
        <w:pStyle w:val="5"/>
        <w:jc w:val="both"/>
        <w:rPr>
          <w:rFonts w:hint="eastAsia" w:ascii="仿宋_GB2312" w:hAnsi="华文楷体" w:eastAsia="仿宋_GB2312" w:cs="Times New Roman"/>
          <w:kern w:val="2"/>
          <w:sz w:val="32"/>
          <w:szCs w:val="24"/>
          <w:lang w:val="en-US" w:eastAsia="zh-CN" w:bidi="ar-SA"/>
        </w:rPr>
      </w:pPr>
      <w:r>
        <w:rPr>
          <w:rFonts w:hint="eastAsia" w:ascii="仿宋_GB2312" w:hAnsi="华文楷体" w:eastAsia="仿宋_GB2312" w:cs="Times New Roman"/>
          <w:kern w:val="2"/>
          <w:sz w:val="32"/>
          <w:szCs w:val="24"/>
          <w:lang w:val="en-US" w:eastAsia="zh-CN" w:bidi="ar-SA"/>
        </w:rPr>
        <w:drawing>
          <wp:anchor distT="0" distB="0" distL="114300" distR="114300" simplePos="0" relativeHeight="251659264" behindDoc="0" locked="0" layoutInCell="1" allowOverlap="1">
            <wp:simplePos x="0" y="0"/>
            <wp:positionH relativeFrom="column">
              <wp:posOffset>-267970</wp:posOffset>
            </wp:positionH>
            <wp:positionV relativeFrom="paragraph">
              <wp:posOffset>267335</wp:posOffset>
            </wp:positionV>
            <wp:extent cx="5831205" cy="8242300"/>
            <wp:effectExtent l="0" t="0" r="17145" b="6350"/>
            <wp:wrapSquare wrapText="bothSides"/>
            <wp:docPr id="1" name="图片 1" descr="17城市污水系统分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城市污水系统分区图"/>
                    <pic:cNvPicPr>
                      <a:picLocks noChangeAspect="1"/>
                    </pic:cNvPicPr>
                  </pic:nvPicPr>
                  <pic:blipFill>
                    <a:blip r:embed="rId4"/>
                    <a:stretch>
                      <a:fillRect/>
                    </a:stretch>
                  </pic:blipFill>
                  <pic:spPr>
                    <a:xfrm>
                      <a:off x="0" y="0"/>
                      <a:ext cx="5831205" cy="8242300"/>
                    </a:xfrm>
                    <a:prstGeom prst="rect">
                      <a:avLst/>
                    </a:prstGeom>
                  </pic:spPr>
                </pic:pic>
              </a:graphicData>
            </a:graphic>
          </wp:anchor>
        </w:drawing>
      </w:r>
    </w:p>
    <w:p w14:paraId="3C1C05CA">
      <w:pPr>
        <w:pStyle w:val="5"/>
        <w:rPr>
          <w:rFonts w:hint="eastAsia" w:ascii="仿宋_GB2312" w:hAnsi="华文楷体" w:eastAsia="仿宋_GB2312" w:cs="Times New Roman"/>
          <w:kern w:val="2"/>
          <w:sz w:val="32"/>
          <w:szCs w:val="24"/>
          <w:lang w:val="en-US" w:eastAsia="zh-CN" w:bidi="ar-SA"/>
        </w:rPr>
      </w:pPr>
      <w:r>
        <w:rPr>
          <w:rFonts w:hint="eastAsia" w:ascii="仿宋_GB2312" w:hAnsi="华文楷体" w:eastAsia="仿宋_GB2312" w:cs="Times New Roman"/>
          <w:kern w:val="2"/>
          <w:sz w:val="32"/>
          <w:szCs w:val="24"/>
          <w:lang w:val="en-US" w:eastAsia="zh-CN" w:bidi="ar-SA"/>
        </w:rPr>
        <w:drawing>
          <wp:anchor distT="0" distB="0" distL="114300" distR="114300" simplePos="0" relativeHeight="251661312" behindDoc="0" locked="0" layoutInCell="1" allowOverlap="1">
            <wp:simplePos x="0" y="0"/>
            <wp:positionH relativeFrom="column">
              <wp:posOffset>-232410</wp:posOffset>
            </wp:positionH>
            <wp:positionV relativeFrom="paragraph">
              <wp:posOffset>259715</wp:posOffset>
            </wp:positionV>
            <wp:extent cx="5831840" cy="8243570"/>
            <wp:effectExtent l="0" t="0" r="16510" b="5080"/>
            <wp:wrapSquare wrapText="bothSides"/>
            <wp:docPr id="4" name="图片 4" descr="18城区污水工程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8城区污水工程规划图"/>
                    <pic:cNvPicPr>
                      <a:picLocks noChangeAspect="1"/>
                    </pic:cNvPicPr>
                  </pic:nvPicPr>
                  <pic:blipFill>
                    <a:blip r:embed="rId5"/>
                    <a:stretch>
                      <a:fillRect/>
                    </a:stretch>
                  </pic:blipFill>
                  <pic:spPr>
                    <a:xfrm>
                      <a:off x="0" y="0"/>
                      <a:ext cx="5831840" cy="8243570"/>
                    </a:xfrm>
                    <a:prstGeom prst="rect">
                      <a:avLst/>
                    </a:prstGeom>
                  </pic:spPr>
                </pic:pic>
              </a:graphicData>
            </a:graphic>
          </wp:anchor>
        </w:drawing>
      </w:r>
    </w:p>
    <w:p w14:paraId="0D5BA38A">
      <w:pPr>
        <w:pStyle w:val="5"/>
        <w:rPr>
          <w:rFonts w:hint="eastAsia" w:ascii="仿宋_GB2312" w:hAnsi="华文楷体" w:eastAsia="仿宋_GB2312" w:cs="Times New Roman"/>
          <w:kern w:val="2"/>
          <w:sz w:val="32"/>
          <w:szCs w:val="24"/>
          <w:lang w:val="en-US" w:eastAsia="zh-CN" w:bidi="ar-SA"/>
        </w:rPr>
      </w:pPr>
      <w:r>
        <w:rPr>
          <w:rFonts w:hint="eastAsia" w:ascii="仿宋_GB2312" w:hAnsi="华文楷体" w:eastAsia="仿宋_GB2312" w:cs="Times New Roman"/>
          <w:kern w:val="2"/>
          <w:sz w:val="32"/>
          <w:szCs w:val="24"/>
          <w:lang w:val="en-US" w:eastAsia="zh-CN" w:bidi="ar-SA"/>
        </w:rPr>
        <w:drawing>
          <wp:anchor distT="0" distB="0" distL="114300" distR="114300" simplePos="0" relativeHeight="251660288" behindDoc="0" locked="0" layoutInCell="1" allowOverlap="1">
            <wp:simplePos x="0" y="0"/>
            <wp:positionH relativeFrom="column">
              <wp:posOffset>-163195</wp:posOffset>
            </wp:positionH>
            <wp:positionV relativeFrom="paragraph">
              <wp:posOffset>407035</wp:posOffset>
            </wp:positionV>
            <wp:extent cx="5631815" cy="7960995"/>
            <wp:effectExtent l="0" t="0" r="6985" b="1905"/>
            <wp:wrapSquare wrapText="bothSides"/>
            <wp:docPr id="2" name="图片 2" descr="22城市雨水系统分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2城市雨水系统分区规划图"/>
                    <pic:cNvPicPr>
                      <a:picLocks noChangeAspect="1"/>
                    </pic:cNvPicPr>
                  </pic:nvPicPr>
                  <pic:blipFill>
                    <a:blip r:embed="rId6"/>
                    <a:stretch>
                      <a:fillRect/>
                    </a:stretch>
                  </pic:blipFill>
                  <pic:spPr>
                    <a:xfrm>
                      <a:off x="0" y="0"/>
                      <a:ext cx="5631815" cy="7960995"/>
                    </a:xfrm>
                    <a:prstGeom prst="rect">
                      <a:avLst/>
                    </a:prstGeom>
                  </pic:spPr>
                </pic:pic>
              </a:graphicData>
            </a:graphic>
          </wp:anchor>
        </w:drawing>
      </w:r>
    </w:p>
    <w:p w14:paraId="4827EC3A">
      <w:pPr>
        <w:pStyle w:val="5"/>
        <w:rPr>
          <w:rFonts w:hint="eastAsia" w:ascii="仿宋_GB2312" w:hAnsi="华文楷体" w:eastAsia="仿宋_GB2312" w:cs="Times New Roman"/>
          <w:kern w:val="2"/>
          <w:sz w:val="32"/>
          <w:szCs w:val="24"/>
          <w:lang w:val="en-US" w:eastAsia="zh-CN" w:bidi="ar-SA"/>
        </w:rPr>
      </w:pPr>
      <w:r>
        <w:rPr>
          <w:rFonts w:hint="eastAsia" w:ascii="仿宋_GB2312" w:hAnsi="华文楷体" w:eastAsia="仿宋_GB2312" w:cs="Times New Roman"/>
          <w:kern w:val="2"/>
          <w:sz w:val="32"/>
          <w:szCs w:val="24"/>
          <w:lang w:val="en-US" w:eastAsia="zh-CN" w:bidi="ar-SA"/>
        </w:rPr>
        <w:drawing>
          <wp:anchor distT="0" distB="0" distL="114300" distR="114300" simplePos="0" relativeHeight="251662336" behindDoc="0" locked="0" layoutInCell="1" allowOverlap="1">
            <wp:simplePos x="0" y="0"/>
            <wp:positionH relativeFrom="column">
              <wp:posOffset>-328295</wp:posOffset>
            </wp:positionH>
            <wp:positionV relativeFrom="paragraph">
              <wp:posOffset>271145</wp:posOffset>
            </wp:positionV>
            <wp:extent cx="5831840" cy="8243570"/>
            <wp:effectExtent l="0" t="0" r="16510" b="5080"/>
            <wp:wrapSquare wrapText="bothSides"/>
            <wp:docPr id="8" name="图片 8" descr="23城市雨水工程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3城市雨水工程规划图"/>
                    <pic:cNvPicPr>
                      <a:picLocks noChangeAspect="1"/>
                    </pic:cNvPicPr>
                  </pic:nvPicPr>
                  <pic:blipFill>
                    <a:blip r:embed="rId7"/>
                    <a:stretch>
                      <a:fillRect/>
                    </a:stretch>
                  </pic:blipFill>
                  <pic:spPr>
                    <a:xfrm>
                      <a:off x="0" y="0"/>
                      <a:ext cx="5831840" cy="8243570"/>
                    </a:xfrm>
                    <a:prstGeom prst="rect">
                      <a:avLst/>
                    </a:prstGeom>
                  </pic:spPr>
                </pic:pic>
              </a:graphicData>
            </a:graphic>
          </wp:anchor>
        </w:drawing>
      </w:r>
    </w:p>
    <w:p w14:paraId="11D731C7">
      <w:pPr>
        <w:pStyle w:val="5"/>
        <w:rPr>
          <w:rFonts w:hint="eastAsia" w:ascii="仿宋_GB2312" w:hAnsi="华文楷体" w:eastAsia="仿宋_GB2312" w:cs="Times New Roman"/>
          <w:kern w:val="2"/>
          <w:sz w:val="32"/>
          <w:szCs w:val="24"/>
          <w:lang w:val="en-US" w:eastAsia="zh-CN" w:bidi="ar-SA"/>
        </w:rPr>
      </w:pPr>
      <w:r>
        <w:rPr>
          <w:rFonts w:hint="eastAsia" w:ascii="仿宋_GB2312" w:hAnsi="华文楷体" w:eastAsia="仿宋_GB2312" w:cs="Times New Roman"/>
          <w:kern w:val="2"/>
          <w:sz w:val="32"/>
          <w:szCs w:val="24"/>
          <w:lang w:val="en-US" w:eastAsia="zh-CN" w:bidi="ar-SA"/>
        </w:rPr>
        <w:drawing>
          <wp:anchor distT="0" distB="0" distL="114300" distR="114300" simplePos="0" relativeHeight="251663360" behindDoc="0" locked="0" layoutInCell="1" allowOverlap="1">
            <wp:simplePos x="0" y="0"/>
            <wp:positionH relativeFrom="column">
              <wp:posOffset>-292100</wp:posOffset>
            </wp:positionH>
            <wp:positionV relativeFrom="paragraph">
              <wp:posOffset>353695</wp:posOffset>
            </wp:positionV>
            <wp:extent cx="5831840" cy="8243570"/>
            <wp:effectExtent l="0" t="0" r="16510" b="5080"/>
            <wp:wrapSquare wrapText="bothSides"/>
            <wp:docPr id="9" name="图片 9" descr="16城市排水设施布局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城市排水设施布局规划图"/>
                    <pic:cNvPicPr>
                      <a:picLocks noChangeAspect="1"/>
                    </pic:cNvPicPr>
                  </pic:nvPicPr>
                  <pic:blipFill>
                    <a:blip r:embed="rId8"/>
                    <a:stretch>
                      <a:fillRect/>
                    </a:stretch>
                  </pic:blipFill>
                  <pic:spPr>
                    <a:xfrm>
                      <a:off x="0" y="0"/>
                      <a:ext cx="5831840" cy="8243570"/>
                    </a:xfrm>
                    <a:prstGeom prst="rect">
                      <a:avLst/>
                    </a:prstGeom>
                  </pic:spPr>
                </pic:pic>
              </a:graphicData>
            </a:graphic>
          </wp:anchor>
        </w:drawing>
      </w:r>
    </w:p>
    <w:p w14:paraId="2C2F14AD">
      <w:pPr>
        <w:pStyle w:val="5"/>
        <w:rPr>
          <w:rFonts w:hint="eastAsia" w:ascii="仿宋_GB2312" w:hAnsi="华文楷体" w:eastAsia="仿宋_GB2312" w:cs="Times New Roman"/>
          <w:kern w:val="2"/>
          <w:sz w:val="32"/>
          <w:szCs w:val="24"/>
          <w:lang w:val="en-US" w:eastAsia="zh-CN" w:bidi="ar-SA"/>
        </w:rPr>
      </w:pPr>
      <w:r>
        <w:rPr>
          <w:rFonts w:hint="eastAsia" w:ascii="仿宋_GB2312" w:hAnsi="华文楷体" w:eastAsia="仿宋_GB2312" w:cs="Times New Roman"/>
          <w:kern w:val="2"/>
          <w:sz w:val="32"/>
          <w:szCs w:val="24"/>
          <w:lang w:val="en-US" w:eastAsia="zh-CN" w:bidi="ar-SA"/>
        </w:rPr>
        <w:drawing>
          <wp:anchor distT="0" distB="0" distL="114300" distR="114300" simplePos="0" relativeHeight="251664384" behindDoc="0" locked="0" layoutInCell="1" allowOverlap="1">
            <wp:simplePos x="0" y="0"/>
            <wp:positionH relativeFrom="column">
              <wp:posOffset>-266700</wp:posOffset>
            </wp:positionH>
            <wp:positionV relativeFrom="paragraph">
              <wp:posOffset>337820</wp:posOffset>
            </wp:positionV>
            <wp:extent cx="5831840" cy="8243570"/>
            <wp:effectExtent l="0" t="0" r="16510" b="5080"/>
            <wp:wrapSquare wrapText="bothSides"/>
            <wp:docPr id="10" name="图片 10" descr="28城市再生水利用工程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8城市再生水利用工程规划图"/>
                    <pic:cNvPicPr>
                      <a:picLocks noChangeAspect="1"/>
                    </pic:cNvPicPr>
                  </pic:nvPicPr>
                  <pic:blipFill>
                    <a:blip r:embed="rId9"/>
                    <a:stretch>
                      <a:fillRect/>
                    </a:stretch>
                  </pic:blipFill>
                  <pic:spPr>
                    <a:xfrm>
                      <a:off x="0" y="0"/>
                      <a:ext cx="5831840" cy="8243570"/>
                    </a:xfrm>
                    <a:prstGeom prst="rect">
                      <a:avLst/>
                    </a:prstGeom>
                  </pic:spPr>
                </pic:pic>
              </a:graphicData>
            </a:graphic>
          </wp:anchor>
        </w:drawing>
      </w:r>
    </w:p>
    <w:p w14:paraId="40F9B5F4">
      <w:pPr>
        <w:pStyle w:val="5"/>
        <w:rPr>
          <w:rFonts w:hint="eastAsia" w:ascii="仿宋_GB2312" w:hAnsi="华文楷体" w:eastAsia="仿宋_GB2312" w:cs="Times New Roman"/>
          <w:kern w:val="2"/>
          <w:sz w:val="32"/>
          <w:szCs w:val="24"/>
          <w:lang w:val="en-US" w:eastAsia="zh-CN" w:bidi="ar-SA"/>
        </w:rPr>
      </w:pPr>
      <w:r>
        <w:rPr>
          <w:rFonts w:hint="eastAsia" w:ascii="仿宋_GB2312" w:hAnsi="华文楷体" w:eastAsia="仿宋_GB2312" w:cs="Times New Roman"/>
          <w:kern w:val="2"/>
          <w:sz w:val="32"/>
          <w:szCs w:val="24"/>
          <w:lang w:val="en-US" w:eastAsia="zh-CN" w:bidi="ar-SA"/>
        </w:rPr>
        <w:drawing>
          <wp:anchor distT="0" distB="0" distL="114300" distR="114300" simplePos="0" relativeHeight="251665408" behindDoc="0" locked="0" layoutInCell="1" allowOverlap="1">
            <wp:simplePos x="0" y="0"/>
            <wp:positionH relativeFrom="column">
              <wp:posOffset>-311150</wp:posOffset>
            </wp:positionH>
            <wp:positionV relativeFrom="paragraph">
              <wp:posOffset>395605</wp:posOffset>
            </wp:positionV>
            <wp:extent cx="5831840" cy="8243570"/>
            <wp:effectExtent l="0" t="0" r="16510" b="5080"/>
            <wp:wrapSquare wrapText="bothSides"/>
            <wp:docPr id="11" name="图片 11" descr="12城市水系功能定位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城市水系功能定位规划图"/>
                    <pic:cNvPicPr>
                      <a:picLocks noChangeAspect="1"/>
                    </pic:cNvPicPr>
                  </pic:nvPicPr>
                  <pic:blipFill>
                    <a:blip r:embed="rId10"/>
                    <a:stretch>
                      <a:fillRect/>
                    </a:stretch>
                  </pic:blipFill>
                  <pic:spPr>
                    <a:xfrm>
                      <a:off x="0" y="0"/>
                      <a:ext cx="5831840" cy="8243570"/>
                    </a:xfrm>
                    <a:prstGeom prst="rect">
                      <a:avLst/>
                    </a:prstGeom>
                  </pic:spPr>
                </pic:pic>
              </a:graphicData>
            </a:graphic>
          </wp:anchor>
        </w:drawing>
      </w:r>
    </w:p>
    <w:p w14:paraId="78039BBE">
      <w:pPr>
        <w:pStyle w:val="5"/>
        <w:rPr>
          <w:rFonts w:hint="eastAsia" w:ascii="仿宋_GB2312" w:hAnsi="华文楷体" w:eastAsia="仿宋_GB2312" w:cs="Times New Roman"/>
          <w:kern w:val="2"/>
          <w:sz w:val="32"/>
          <w:szCs w:val="24"/>
          <w:lang w:val="en-US" w:eastAsia="zh-CN" w:bidi="ar-SA"/>
        </w:rPr>
      </w:pPr>
      <w:r>
        <w:rPr>
          <w:rFonts w:hint="eastAsia" w:ascii="仿宋_GB2312" w:hAnsi="华文楷体" w:eastAsia="仿宋_GB2312" w:cs="Times New Roman"/>
          <w:kern w:val="2"/>
          <w:sz w:val="32"/>
          <w:szCs w:val="24"/>
          <w:lang w:val="en-US" w:eastAsia="zh-CN" w:bidi="ar-SA"/>
        </w:rPr>
        <w:drawing>
          <wp:anchor distT="0" distB="0" distL="114300" distR="114300" simplePos="0" relativeHeight="251666432" behindDoc="0" locked="0" layoutInCell="1" allowOverlap="1">
            <wp:simplePos x="0" y="0"/>
            <wp:positionH relativeFrom="column">
              <wp:posOffset>-222885</wp:posOffset>
            </wp:positionH>
            <wp:positionV relativeFrom="paragraph">
              <wp:posOffset>351790</wp:posOffset>
            </wp:positionV>
            <wp:extent cx="5831840" cy="8243570"/>
            <wp:effectExtent l="0" t="0" r="16510" b="5080"/>
            <wp:wrapSquare wrapText="bothSides"/>
            <wp:docPr id="12" name="图片 12" descr="15城市水安全设施布局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城市水安全设施布局规划图"/>
                    <pic:cNvPicPr>
                      <a:picLocks noChangeAspect="1"/>
                    </pic:cNvPicPr>
                  </pic:nvPicPr>
                  <pic:blipFill>
                    <a:blip r:embed="rId11"/>
                    <a:stretch>
                      <a:fillRect/>
                    </a:stretch>
                  </pic:blipFill>
                  <pic:spPr>
                    <a:xfrm>
                      <a:off x="0" y="0"/>
                      <a:ext cx="5831840" cy="8243570"/>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FFDD5BB-2FBC-4341-8DF7-01D361A4C5B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embedRegular r:id="rId2" w:fontKey="{21D7FB40-B398-4C01-8AAD-B6BD67D50C3B}"/>
  </w:font>
  <w:font w:name="仿宋">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embedRegular r:id="rId3" w:fontKey="{A2844B6C-EEF5-4902-84C1-3C294E0157DF}"/>
  </w:font>
  <w:font w:name="方正小标宋简体">
    <w:altName w:val="黑体"/>
    <w:panose1 w:val="03000509000000000000"/>
    <w:charset w:val="86"/>
    <w:family w:val="script"/>
    <w:pitch w:val="default"/>
    <w:sig w:usb0="00000000" w:usb1="00000000" w:usb2="00000000" w:usb3="00000000" w:csb0="00040000" w:csb1="00000000"/>
    <w:embedRegular r:id="rId4" w:fontKey="{C309FD68-88AE-421D-AB9D-F76C28CCA680}"/>
  </w:font>
  <w:font w:name="楷体_GB2312">
    <w:altName w:val="楷体"/>
    <w:panose1 w:val="02010609030101010101"/>
    <w:charset w:val="86"/>
    <w:family w:val="auto"/>
    <w:pitch w:val="default"/>
    <w:sig w:usb0="00000000" w:usb1="00000000" w:usb2="00000000" w:usb3="00000000" w:csb0="00040000" w:csb1="00000000"/>
    <w:embedRegular r:id="rId5" w:fontKey="{30E35231-B016-4D98-A291-F84B8DE4A193}"/>
  </w:font>
  <w:font w:name="楷体">
    <w:panose1 w:val="02010609060101010101"/>
    <w:charset w:val="86"/>
    <w:family w:val="auto"/>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embedRegular r:id="rId6" w:fontKey="{32BA3AC1-DC55-4CF2-BAE5-FE8129AAF473}"/>
  </w:font>
  <w:font w:name="KSOF439EEF50">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F9CC6125">
    <w:panose1 w:val="02010609060101010101"/>
    <w:charset w:val="86"/>
    <w:family w:val="auto"/>
    <w:pitch w:val="default"/>
    <w:sig w:usb0="00000001"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2CB71F"/>
    <w:multiLevelType w:val="singleLevel"/>
    <w:tmpl w:val="CE2CB71F"/>
    <w:lvl w:ilvl="0" w:tentative="0">
      <w:start w:val="1"/>
      <w:numFmt w:val="decimal"/>
      <w:suff w:val="nothing"/>
      <w:lvlText w:val="（%1）"/>
      <w:lvlJc w:val="left"/>
      <w:pPr>
        <w:ind w:left="642" w:leftChars="0" w:firstLine="0" w:firstLineChars="0"/>
      </w:pPr>
    </w:lvl>
  </w:abstractNum>
  <w:abstractNum w:abstractNumId="1">
    <w:nsid w:val="5273C8A1"/>
    <w:multiLevelType w:val="singleLevel"/>
    <w:tmpl w:val="5273C8A1"/>
    <w:lvl w:ilvl="0" w:tentative="0">
      <w:start w:val="4"/>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0ZTQ3NzMwZTJiNjAzYzM2MDc5NDVlMTI2NWZkMTUifQ=="/>
  </w:docVars>
  <w:rsids>
    <w:rsidRoot w:val="20180206"/>
    <w:rsid w:val="02D92666"/>
    <w:rsid w:val="031D20D6"/>
    <w:rsid w:val="06113EC5"/>
    <w:rsid w:val="0A9E2FAC"/>
    <w:rsid w:val="0D0E61C1"/>
    <w:rsid w:val="11B1665D"/>
    <w:rsid w:val="159627D2"/>
    <w:rsid w:val="16763EEB"/>
    <w:rsid w:val="16930926"/>
    <w:rsid w:val="16AD2BAC"/>
    <w:rsid w:val="174B712B"/>
    <w:rsid w:val="182028BE"/>
    <w:rsid w:val="19440E6B"/>
    <w:rsid w:val="1AB97081"/>
    <w:rsid w:val="20180206"/>
    <w:rsid w:val="20570BEB"/>
    <w:rsid w:val="21074ED1"/>
    <w:rsid w:val="22CB781B"/>
    <w:rsid w:val="2598673B"/>
    <w:rsid w:val="27F97454"/>
    <w:rsid w:val="280451E0"/>
    <w:rsid w:val="280C2087"/>
    <w:rsid w:val="281103B5"/>
    <w:rsid w:val="28A95D87"/>
    <w:rsid w:val="2977663F"/>
    <w:rsid w:val="2C5A4F9D"/>
    <w:rsid w:val="2DE81100"/>
    <w:rsid w:val="2F074CB1"/>
    <w:rsid w:val="320F75A3"/>
    <w:rsid w:val="363674FB"/>
    <w:rsid w:val="36C53863"/>
    <w:rsid w:val="374B2E2B"/>
    <w:rsid w:val="39B93453"/>
    <w:rsid w:val="411841B3"/>
    <w:rsid w:val="430A3B9B"/>
    <w:rsid w:val="44FA1406"/>
    <w:rsid w:val="452878A2"/>
    <w:rsid w:val="49E73E13"/>
    <w:rsid w:val="4A881849"/>
    <w:rsid w:val="51B57668"/>
    <w:rsid w:val="57B8376D"/>
    <w:rsid w:val="5AA02956"/>
    <w:rsid w:val="5EC31020"/>
    <w:rsid w:val="5F3E6C4E"/>
    <w:rsid w:val="5F867702"/>
    <w:rsid w:val="5FCF0EF9"/>
    <w:rsid w:val="603D6F06"/>
    <w:rsid w:val="633D0FCB"/>
    <w:rsid w:val="65277CCB"/>
    <w:rsid w:val="674543D4"/>
    <w:rsid w:val="6A633A0D"/>
    <w:rsid w:val="70C268FE"/>
    <w:rsid w:val="70CD6084"/>
    <w:rsid w:val="763B13A9"/>
    <w:rsid w:val="76F21C5B"/>
    <w:rsid w:val="77752FD1"/>
    <w:rsid w:val="77F653F7"/>
    <w:rsid w:val="7B1A5961"/>
    <w:rsid w:val="7BBA54E9"/>
    <w:rsid w:val="7DEF60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asciiTheme="minorHAnsi" w:hAnsiTheme="minorHAnsi" w:cstheme="minorBidi"/>
      <w:kern w:val="2"/>
      <w:sz w:val="21"/>
      <w:lang w:val="en-US" w:eastAsia="zh-CN" w:bidi="ar-SA"/>
    </w:rPr>
  </w:style>
  <w:style w:type="paragraph" w:styleId="2">
    <w:name w:val="heading 2"/>
    <w:basedOn w:val="1"/>
    <w:next w:val="1"/>
    <w:uiPriority w:val="0"/>
    <w:pPr>
      <w:keepNext/>
      <w:keepLines/>
      <w:spacing w:before="6240" w:beforeLines="2000" w:after="6240" w:afterLines="2000" w:line="720" w:lineRule="auto"/>
      <w:contextualSpacing/>
      <w:jc w:val="left"/>
      <w:outlineLvl w:val="1"/>
    </w:pPr>
    <w:rPr>
      <w:rFonts w:ascii="Arial" w:hAnsi="Arial" w:eastAsia="黑体"/>
      <w:b/>
      <w:bCs/>
      <w:kern w:val="2"/>
      <w:sz w:val="32"/>
      <w:szCs w:val="32"/>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next w:val="1"/>
    <w:qFormat/>
    <w:uiPriority w:val="1"/>
    <w:pPr>
      <w:widowControl w:val="0"/>
      <w:spacing w:line="360" w:lineRule="auto"/>
      <w:ind w:firstLine="562" w:firstLineChars="200"/>
    </w:pPr>
    <w:rPr>
      <w:rFonts w:ascii="宋体" w:hAnsi="宋体" w:cs="宋体"/>
      <w:sz w:val="24"/>
      <w:szCs w:val="24"/>
    </w:rPr>
  </w:style>
  <w:style w:type="paragraph" w:styleId="4">
    <w:name w:val="Body Text First Indent"/>
    <w:basedOn w:val="3"/>
    <w:next w:val="5"/>
    <w:qFormat/>
    <w:uiPriority w:val="0"/>
    <w:pPr>
      <w:ind w:firstLine="420" w:firstLineChars="100"/>
    </w:pPr>
    <w:rPr>
      <w:rFonts w:ascii="Calibri" w:hAnsi="Calibri"/>
    </w:rPr>
  </w:style>
  <w:style w:type="paragraph" w:styleId="5">
    <w:name w:val="Body Text First Indent 2"/>
    <w:qFormat/>
    <w:uiPriority w:val="0"/>
    <w:pPr>
      <w:widowControl w:val="0"/>
      <w:spacing w:after="120" w:line="360" w:lineRule="auto"/>
      <w:ind w:left="420" w:leftChars="200" w:firstLine="420" w:firstLineChars="200"/>
    </w:pPr>
    <w:rPr>
      <w:rFonts w:ascii="仿宋_GB2312" w:hAnsi="华文楷体" w:eastAsia="仿宋_GB2312" w:cs="Times New Roman"/>
      <w:kern w:val="2"/>
      <w:sz w:val="32"/>
      <w:szCs w:val="24"/>
      <w:lang w:val="en-US" w:eastAsia="zh-CN" w:bidi="ar-SA"/>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表格样式"/>
    <w:basedOn w:val="1"/>
    <w:qFormat/>
    <w:uiPriority w:val="0"/>
    <w:pPr>
      <w:spacing w:line="360" w:lineRule="exact"/>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3602</Words>
  <Characters>3834</Characters>
  <Lines>0</Lines>
  <Paragraphs>0</Paragraphs>
  <TotalTime>13</TotalTime>
  <ScaleCrop>false</ScaleCrop>
  <LinksUpToDate>false</LinksUpToDate>
  <CharactersWithSpaces>3835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2024-06-03T00:41:00Z</dcterms:created>
  <dc:creator>WPS_1716944658</dc:creator>
  <cp:lastModifiedBy>市政室</cp:lastModifiedBy>
  <dcterms:modified xsi:type="dcterms:W3CDTF">2026-06-08T10:33:22Z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62BC57AEFF90498889F65887DE95DA05_13</vt:lpwstr>
  </property>
  <property fmtid="{D5CDD505-2E9C-101B-9397-08002B2CF9AE}" pid="4" name="KSOTemplateDocerSaveRecord">
    <vt:lpwstr>eyJoZGlkIjoiZDJkMjVmZGRkMDEwNTNlYmZmMzMzOGJkMzkxNWFkMjciLCJ1c2VySWQiOiIxNzYwMzU2MDc3In0=</vt:lpwstr>
  </property>
</Properties>
</file>